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ascii="等线" w:hAnsi="等线" w:eastAsia="华文中宋" w:cs="华文中宋"/>
          <w:b/>
          <w:bCs/>
          <w:sz w:val="36"/>
          <w:szCs w:val="36"/>
        </w:rPr>
      </w:pPr>
      <w:r>
        <w:rPr>
          <w:rFonts w:hint="eastAsia" w:ascii="等线" w:hAnsi="等线" w:eastAsia="华文中宋" w:cs="华文中宋"/>
          <w:b/>
          <w:bCs/>
          <w:sz w:val="36"/>
          <w:szCs w:val="36"/>
        </w:rPr>
        <w:t xml:space="preserve"> 湖南艺术职业学院2024年高职单招章程</w:t>
      </w:r>
    </w:p>
    <w:p>
      <w:pPr>
        <w:numPr>
          <w:ilvl w:val="0"/>
          <w:numId w:val="2"/>
        </w:numPr>
        <w:spacing w:before="312" w:beforeLines="10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总 则</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根据《中华人民共和国教育法》《中华人民共和国高等教育法》等法律法规及教育部有关规定，依据湖南省教育厅《关于做好湖南省2024年高职（高专）院校单独招生工作的通知》（湘教发〔2023〕49号）有关要求，结合学校单独招生工作（以下简称单招）实际，特制定本章程。</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学校全称：湖南艺术职业学院</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办学地点：长沙县星沙街道特立东路719号湖南艺术职业学院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主管部门：湖南省教育厅</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办学层次：高职（专科）</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湖南省院校代号：4349 </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办学类型：公办 </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颁发学历证书的学校名称：湖南艺术职业学院。证书种类：普通高等学校全日制专科毕业证书。</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学校单招工作遵循“公平竞争、公正选拔、公开透明”的原则，坚决执行招生政策规定和纪律要求，严格实施考试招生“阳光工程”。</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简介：湖南艺术职业学院是湖南省唯一一所公办综合类艺术高等职业院校。学校前身是1923年创立的湖南私立华中高级艺术职业学校（简称“华中艺专”或“华中高艺”，曾培养了周令钊、陈国钊、李昌鄂、王正德、刘迪耕、李立、欧阳笃材、陈白一、易图境、谢凯等一大批杰出人才）。1951年，“华中艺专”更名改制为湖南省艺术学校，先后经历了湖南省戏曲学校、湖南艺术学院附属戏曲学校、湖南省戏曲艺术学校、湖南省戏剧学校、湖南省艺术学校等发展阶段。2002年，湖南省艺术学校与1979年成立的湖南省电影学校合并升格为湖南艺术职业学院。2018年，湖南艺术职业学院南、北校区整体搬迁至新校区，坐落在国家级生态湿地公园松雅湖东岸，总占地面积380亩，总建筑面积26万平方米，校园硬件设施完善，校园环境典雅别致。</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是湖南省示范性高等职业学院、湖南省文明高等学校、全国基层文化队伍培训基地、全国文化干部培训基地、全国非遗传承人群研培基地，先后荣获全国文化工作先进集体、全国学校艺术教育先进单位、湖南省职业教育先进单位等荣誉。</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坚持艺术为本，始终围绕立德树人根本任务，秉持“德艺双馨，敢为人先”的校训和“围绕舞台，造就人才；立足文旅，服务社会”的办学理念，不断探索校企合作的道路，加强产、学、研融合，拓展职业教育的新理念、新视野，大力弘扬文艺“工匠精神”，积淀了深厚的人文艺术底蕴，形成了鲜明的办学特色，培养了一大批高素质、多样化的文化艺术人才。现有5万余名校友、数十位“文华奖”“梅花奖”获得者活跃在国内外文化艺术领域，创造了一个又一个艺术表演、艺术教育、艺术创作的辉煌，为湖南乃至全国文艺事业繁荣和经济社会发展做出了重要贡献。其中，新中国成立后，聂南溪、黄铁山、朱辉、李谷一、龚谷音、左大玢、刘赵黔、黄卓、杨霞、张也、雷佳、王丽达、瞿颖、沈伟、吴军、周浩、甘萍、赵双午、刘赛、万茜等蜚声海内外的艺术名家，都是从这里走向全国、走向世界的，学校被誉为“文艺湘军的摇篮”。</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现设有戏剧、音乐、舞蹈、数字产业、设计艺术、文化旅游6个专业学院和马克思主义学院、公共教学部（体育部）、湖南省艺术学校（中专部）等教学机构；共开设30个专业，构建了以表演艺术专业群为核心，舞台艺术设计专业群、广播影视专业群、文化旅游专业群为支撑的四大特色专业集群，是湖南省高水平专业群建设项目单位。</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立足湖南、面向全国招生，在高职招生的同时，招录五年制、六年制中专学生进行长期艺术培养教育。现有全日制在校生7000余人；专任教师374人，正高职称32人，副高职称110人，多人享受国务院特殊津贴、入选教育部课程思政教学名师和教学团队、文化部优秀专家、文化和旅游部百名优秀戏曲专业教师、全国档案系统青年档案业务骨干、全国技术能手，入选湖南省“121人才工程”、湖南省文艺人才扶持“三百工程”、湖南省“芙蓉计划”湖湘青年英才项目、湖南省职业教育“楚怡”教师教学创新团队、“楚怡”名师工作室，评为省级教学名师、湖南省中青年骨干人才专家、湖南省职业教育“楚怡”教学名师、湖南省技术能手、湖南省文旅行业标兵、湖南省直系统五一劳动奖章等。同时，学校聘请了一大批国内外艺术名家来校任教授艺，师资队伍水平不断提升。</w:t>
      </w:r>
    </w:p>
    <w:p>
      <w:pPr>
        <w:spacing w:line="500" w:lineRule="exact"/>
        <w:ind w:firstLine="560" w:firstLineChars="200"/>
        <w:rPr>
          <w:rFonts w:ascii="等线" w:hAnsi="等线" w:eastAsia="仿宋" w:cs="仿宋"/>
          <w:sz w:val="28"/>
          <w:szCs w:val="28"/>
          <w:u w:val="single"/>
        </w:rPr>
      </w:pPr>
      <w:r>
        <w:rPr>
          <w:rFonts w:hint="eastAsia" w:ascii="等线" w:hAnsi="等线" w:eastAsia="仿宋" w:cs="仿宋"/>
          <w:sz w:val="28"/>
          <w:szCs w:val="28"/>
        </w:rPr>
        <w:t xml:space="preserve">新时代，新征程。在湖南省委、省政府的大力支持下，学校将以建设高水平专业群为契机，以建设职业本科大学为目标，以更加开放的办学理念，创新人才培养机制，提高人才培养质量，推进文化传承发展，服务全省“三高四新”战略定位与使命任务，将学校建设成为：新时代文化艺术领域高技能人才的摇篮；以戏曲为代表的非遗传承保护基地；湖湘文化研学旅游基地；全国文旅干部和湖湘文旅能人培训基地；高水平文艺作品创作推广基地，为新时代文化艺术职业教育高质量发展提供湖艺样板，成为具有湖湘特色的全国文化艺术行业高水平示范院校。      </w:t>
      </w:r>
    </w:p>
    <w:p>
      <w:pPr>
        <w:numPr>
          <w:ilvl w:val="0"/>
          <w:numId w:val="2"/>
        </w:numPr>
        <w:spacing w:before="156" w:beforeLines="50" w:after="156" w:afterLines="50" w:line="680" w:lineRule="exact"/>
        <w:jc w:val="center"/>
        <w:rPr>
          <w:rFonts w:ascii="仿宋" w:hAnsi="仿宋" w:eastAsia="仿宋" w:cs="仿宋"/>
          <w:b/>
          <w:bCs/>
          <w:sz w:val="32"/>
          <w:szCs w:val="32"/>
        </w:rPr>
      </w:pP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 xml:space="preserve"> 学校招生工作领导小组负责研究决定本校单招规模确定、政策制订等重大事项，学校招生就业与创新创业指导处负责单招组织实施的日常工作，学校教务处、公共教学部、各二级学院负责单招的考试组织工作。</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学校纪检监察处负责全程监督检查单招工作。</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单招报考</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符合我省2024年普通高考（含对口招生考试）报名条件并已参加高考报名的人员均可报考。对于符合报名条件尚未参加高考报名、且有意愿报考单招的人员，须于2024年2月20日－22日到户籍所在县市区招生考试机构指定的报名点办理补报名手续。</w:t>
      </w:r>
    </w:p>
    <w:p>
      <w:pPr>
        <w:numPr>
          <w:ilvl w:val="0"/>
          <w:numId w:val="3"/>
        </w:num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全省单招统一报考和填报志愿时间为2024年2月27日－3月5日，实行网上报考和填报志愿。单招报考设第一志愿和第二志愿，考生可选择1－2所院校在指定网上平台进行报考。</w:t>
      </w:r>
    </w:p>
    <w:p>
      <w:pPr>
        <w:spacing w:line="600" w:lineRule="exact"/>
        <w:ind w:firstLine="560" w:firstLineChars="200"/>
        <w:rPr>
          <w:rFonts w:ascii="等线" w:hAnsi="等线" w:eastAsia="仿宋" w:cs="仿宋"/>
          <w:sz w:val="28"/>
          <w:szCs w:val="28"/>
        </w:rPr>
      </w:pPr>
      <w:r>
        <w:rPr>
          <w:rFonts w:hint="eastAsia" w:ascii="等线" w:hAnsi="等线" w:eastAsia="仿宋" w:cs="仿宋"/>
          <w:sz w:val="28"/>
          <w:szCs w:val="28"/>
        </w:rPr>
        <w:t>在此期间，考生可登录湖南省普通高校招生考试考生综合信息平台（以下简称“考生综合信息平台”）（网址：https://ks.hneao.cn）或“潇湘高考”APP（通过苹果应用商店、腾讯应用宝、华为应用商店、小米应用商店或“考生综合信息平台”首页下载APP）填写报考志愿信息</w:t>
      </w:r>
      <w:r>
        <w:rPr>
          <w:rFonts w:hint="eastAsia" w:ascii="仿宋" w:hAnsi="仿宋" w:eastAsia="仿宋" w:cs="仿宋"/>
          <w:sz w:val="28"/>
          <w:szCs w:val="28"/>
        </w:rPr>
        <w:t>。</w:t>
      </w:r>
      <w:r>
        <w:rPr>
          <w:rFonts w:hint="eastAsia" w:ascii="等线" w:hAnsi="等线" w:eastAsia="仿宋" w:cs="仿宋"/>
          <w:sz w:val="28"/>
          <w:szCs w:val="28"/>
        </w:rPr>
        <w:t>请考生在报考前关注本校网站（www.arthn.com）公布的有关信息。</w:t>
      </w:r>
    </w:p>
    <w:p>
      <w:pPr>
        <w:spacing w:line="6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第十条</w:t>
      </w:r>
      <w:r>
        <w:rPr>
          <w:rFonts w:hint="eastAsia" w:ascii="等线" w:hAnsi="等线" w:eastAsia="仿宋" w:cs="仿宋"/>
          <w:sz w:val="28"/>
          <w:szCs w:val="28"/>
        </w:rPr>
        <w:t xml:space="preserve"> 填报专业要求。我校实行专业组志愿，考生在填报我校志愿时，需选择一个专业组中的1-2个专业，并确定是否选择专业服从调剂，我校在录取时只在同一专业组的前2个报考专业中调剂录取，同一专业组的第3个报考专业视为无效。</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第十一条 </w:t>
      </w:r>
      <w:r>
        <w:rPr>
          <w:rFonts w:hint="eastAsia" w:ascii="等线" w:hAnsi="等线" w:eastAsia="仿宋" w:cs="仿宋"/>
          <w:sz w:val="28"/>
          <w:szCs w:val="28"/>
        </w:rPr>
        <w:t>退役军人由户籍所在县（市、区）退役军人事务部门进行认定；相关证明材料由考生在规定时间内提供给我校审核，不能按要求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1.退役军人考生资格证明材料。所有退役军人考生均须提供本人身份证复印件及《湖南省2024年高职单招报名身份审核（界定）表》，同时提供以下材料：退役军人提供退出现役证（转业证）。</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材料提交时间及方式。考生须在2024年3月5日16：00前通过本人带上身份证原件，将符合上述要求的证明材料原件及复印件。交由我校招生就业与创新创业指导处审核（具体地址：博艺楼1017办公室，联系方式：0731-88838967）。</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单招计划及专业</w:t>
      </w:r>
    </w:p>
    <w:p>
      <w:pPr>
        <w:widowControl/>
        <w:numPr>
          <w:ilvl w:val="0"/>
          <w:numId w:val="4"/>
        </w:numPr>
        <w:spacing w:line="500" w:lineRule="exact"/>
        <w:ind w:firstLine="560" w:firstLineChars="200"/>
        <w:jc w:val="left"/>
        <w:rPr>
          <w:rFonts w:ascii="等线" w:hAnsi="等线" w:eastAsia="仿宋" w:cs="仿宋"/>
          <w:sz w:val="28"/>
          <w:szCs w:val="28"/>
        </w:rPr>
      </w:pPr>
      <w:r>
        <w:rPr>
          <w:rFonts w:hint="eastAsia" w:ascii="等线" w:hAnsi="等线" w:eastAsia="仿宋" w:cs="仿宋"/>
          <w:sz w:val="28"/>
          <w:szCs w:val="28"/>
        </w:rPr>
        <w:t>我校2024年单招总计划数为600人，其中包含单列计划的退役军人5人。本校2024年招生专业（含方向）共34个。分专业单招计划及学费标准如下表，各专业最终学费标准以2</w:t>
      </w:r>
      <w:r>
        <w:rPr>
          <w:rFonts w:ascii="等线" w:hAnsi="等线" w:eastAsia="仿宋" w:cs="仿宋"/>
          <w:sz w:val="28"/>
          <w:szCs w:val="28"/>
        </w:rPr>
        <w:t>02</w:t>
      </w:r>
      <w:r>
        <w:rPr>
          <w:rFonts w:hint="eastAsia" w:ascii="等线" w:hAnsi="等线" w:eastAsia="仿宋" w:cs="仿宋"/>
          <w:sz w:val="28"/>
          <w:szCs w:val="28"/>
        </w:rPr>
        <w:t xml:space="preserve">4年湖南省物价主管部门审核为准。                         </w:t>
      </w:r>
    </w:p>
    <w:p>
      <w:pPr>
        <w:ind w:firstLine="560" w:firstLineChars="200"/>
        <w:rPr>
          <w:rFonts w:ascii="仿宋" w:hAnsi="仿宋" w:eastAsia="仿宋" w:cs="仿宋"/>
          <w:sz w:val="28"/>
          <w:szCs w:val="28"/>
        </w:rPr>
      </w:pPr>
      <w:r>
        <w:rPr>
          <w:rFonts w:hint="eastAsia" w:ascii="仿宋" w:hAnsi="仿宋" w:eastAsia="仿宋" w:cs="仿宋"/>
          <w:sz w:val="28"/>
          <w:szCs w:val="28"/>
        </w:rPr>
        <w:t>1.根据用人单位的需求，报考舞蹈表演专业男生身高170以上，女生身高160以上，空中乘务专业男生身高172以上，女生身高162以上，双眼矫正视力在（E型）表上不低于4.8，报考文物修复与保护、影视动画、摄影摄像技术专业学生无色弱、色盲，为顺利就业，未达到要求考生，请慎重报考以上专业。</w:t>
      </w:r>
    </w:p>
    <w:p>
      <w:pPr>
        <w:pStyle w:val="10"/>
        <w:ind w:firstLine="560" w:firstLineChars="200"/>
        <w:rPr>
          <w:rFonts w:ascii="仿宋" w:hAnsi="仿宋" w:eastAsia="仿宋" w:cs="仿宋"/>
          <w:sz w:val="28"/>
          <w:szCs w:val="28"/>
        </w:rPr>
      </w:pPr>
      <w:r>
        <w:rPr>
          <w:rFonts w:hint="eastAsia" w:ascii="仿宋" w:hAnsi="仿宋" w:eastAsia="仿宋" w:cs="仿宋"/>
          <w:sz w:val="28"/>
          <w:szCs w:val="28"/>
        </w:rPr>
        <w:t>2.单招专业、学费标准、职业技能测试考试内容及分值比例：</w:t>
      </w:r>
    </w:p>
    <w:tbl>
      <w:tblPr>
        <w:tblStyle w:val="12"/>
        <w:tblpPr w:leftFromText="180" w:rightFromText="180" w:vertAnchor="text" w:horzAnchor="margin" w:tblpXSpec="center" w:tblpY="-827"/>
        <w:tblOverlap w:val="never"/>
        <w:tblW w:w="6543" w:type="pct"/>
        <w:tblInd w:w="0" w:type="dxa"/>
        <w:tblLayout w:type="autofit"/>
        <w:tblCellMar>
          <w:top w:w="0" w:type="dxa"/>
          <w:left w:w="108" w:type="dxa"/>
          <w:bottom w:w="0" w:type="dxa"/>
          <w:right w:w="108" w:type="dxa"/>
        </w:tblCellMar>
      </w:tblPr>
      <w:tblGrid>
        <w:gridCol w:w="2014"/>
        <w:gridCol w:w="797"/>
        <w:gridCol w:w="5327"/>
        <w:gridCol w:w="1786"/>
        <w:gridCol w:w="1933"/>
      </w:tblGrid>
      <w:tr>
        <w:tblPrEx>
          <w:tblCellMar>
            <w:top w:w="0" w:type="dxa"/>
            <w:left w:w="108" w:type="dxa"/>
            <w:bottom w:w="0" w:type="dxa"/>
            <w:right w:w="108" w:type="dxa"/>
          </w:tblCellMar>
        </w:tblPrEx>
        <w:trPr>
          <w:trHeight w:val="274" w:hRule="atLeast"/>
        </w:trPr>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序号</w:t>
            </w:r>
          </w:p>
        </w:tc>
        <w:tc>
          <w:tcPr>
            <w:tcW w:w="22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专业名称</w:t>
            </w:r>
          </w:p>
        </w:tc>
        <w:tc>
          <w:tcPr>
            <w:tcW w:w="7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分专业计划数</w:t>
            </w:r>
          </w:p>
        </w:tc>
        <w:tc>
          <w:tcPr>
            <w:tcW w:w="815" w:type="pct"/>
            <w:tcBorders>
              <w:top w:val="single" w:color="auto" w:sz="4" w:space="0"/>
              <w:left w:val="nil"/>
              <w:bottom w:val="single" w:color="auto" w:sz="4" w:space="0"/>
              <w:right w:val="single" w:color="auto" w:sz="4" w:space="0"/>
            </w:tcBorders>
          </w:tcPr>
          <w:p>
            <w:pPr>
              <w:widowControl/>
              <w:rPr>
                <w:rFonts w:ascii="宋体" w:hAnsi="宋体" w:cs="宋体"/>
                <w:b/>
                <w:bCs/>
                <w:kern w:val="0"/>
                <w:sz w:val="24"/>
              </w:rPr>
            </w:pPr>
            <w:r>
              <w:rPr>
                <w:rFonts w:hint="eastAsia" w:ascii="宋体" w:hAnsi="宋体" w:cs="宋体"/>
                <w:b/>
                <w:bCs/>
                <w:kern w:val="0"/>
                <w:sz w:val="24"/>
              </w:rPr>
              <w:t>学费标准（元）</w:t>
            </w:r>
          </w:p>
        </w:tc>
      </w:tr>
      <w:tr>
        <w:tblPrEx>
          <w:tblCellMar>
            <w:top w:w="0" w:type="dxa"/>
            <w:left w:w="108" w:type="dxa"/>
            <w:bottom w:w="0" w:type="dxa"/>
            <w:right w:w="108" w:type="dxa"/>
          </w:tblCellMar>
        </w:tblPrEx>
        <w:trPr>
          <w:trHeight w:val="375" w:hRule="atLeast"/>
        </w:trPr>
        <w:tc>
          <w:tcPr>
            <w:tcW w:w="8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color w:val="000000" w:themeColor="text1"/>
                <w:kern w:val="0"/>
                <w:sz w:val="24"/>
                <w14:textFill>
                  <w14:solidFill>
                    <w14:schemeClr w14:val="tx1"/>
                  </w14:solidFill>
                </w14:textFill>
              </w:rPr>
              <w:t>第一专业组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戏曲音乐</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第二专业组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音乐表演（国乐与管弦方向）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第三专业组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音乐表演（键盘方向）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第四专业组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音乐制作</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第五专业组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钢琴调律</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第六专业组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音乐表演（中国歌剧方向）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第七专业组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2246" w:type="pct"/>
            <w:tcBorders>
              <w:top w:val="nil"/>
              <w:left w:val="nil"/>
              <w:bottom w:val="single" w:color="auto" w:sz="4" w:space="0"/>
              <w:right w:val="single" w:color="auto" w:sz="4" w:space="0"/>
            </w:tcBorders>
            <w:shd w:val="clear" w:color="auto" w:fill="auto"/>
            <w:vAlign w:val="center"/>
          </w:tcPr>
          <w:p>
            <w:pPr>
              <w:widowControl/>
              <w:ind w:firstLine="482" w:firstLineChars="200"/>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音乐表演（民族美声演唱方向）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第八专业组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音乐表演（流行演唱演奏方向）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第九专业组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戏剧影视表演</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第十专业组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10</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音乐剧表演</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第十一专业组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11</w:t>
            </w:r>
          </w:p>
        </w:tc>
        <w:tc>
          <w:tcPr>
            <w:tcW w:w="224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戏曲表演（湘剧方向）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第十二专业组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224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kern w:val="0"/>
                <w:sz w:val="24"/>
                <w:lang w:bidi="ar"/>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戏曲表演（杂技方向）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31</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第十三专业组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13</w:t>
            </w:r>
          </w:p>
        </w:tc>
        <w:tc>
          <w:tcPr>
            <w:tcW w:w="2246" w:type="pct"/>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戏曲表演（石门荆河戏方向）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18</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第十四专业组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14</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环境艺术设计（景观方向）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环境艺术设计（室内方向）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16</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广告艺术设计</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17</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影视照明技术与艺术</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5500</w:t>
            </w:r>
          </w:p>
        </w:tc>
      </w:tr>
      <w:tr>
        <w:tblPrEx>
          <w:tblCellMar>
            <w:top w:w="0" w:type="dxa"/>
            <w:left w:w="108" w:type="dxa"/>
            <w:bottom w:w="0" w:type="dxa"/>
            <w:right w:w="108" w:type="dxa"/>
          </w:tblCellMar>
        </w:tblPrEx>
        <w:trPr>
          <w:trHeight w:val="375"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18</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人物形象设计</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19</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舞台艺术设计与制作</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90" w:hRule="atLeast"/>
        </w:trPr>
        <w:tc>
          <w:tcPr>
            <w:tcW w:w="849" w:type="pct"/>
            <w:vMerge w:val="continue"/>
            <w:tcBorders>
              <w:left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影视动画</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9000</w:t>
            </w:r>
          </w:p>
        </w:tc>
      </w:tr>
      <w:tr>
        <w:tblPrEx>
          <w:tblCellMar>
            <w:top w:w="0" w:type="dxa"/>
            <w:left w:w="108" w:type="dxa"/>
            <w:bottom w:w="0" w:type="dxa"/>
            <w:right w:w="108" w:type="dxa"/>
          </w:tblCellMar>
        </w:tblPrEx>
        <w:trPr>
          <w:trHeight w:val="90" w:hRule="atLeast"/>
        </w:trPr>
        <w:tc>
          <w:tcPr>
            <w:tcW w:w="8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第十五专业组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21</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舞蹈表演</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第十六专业组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22</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国际标准舞</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第十七专业组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23</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酒店管理与数字化运营</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55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4600</w:t>
            </w:r>
          </w:p>
        </w:tc>
      </w:tr>
      <w:tr>
        <w:tblPrEx>
          <w:tblCellMar>
            <w:top w:w="0" w:type="dxa"/>
            <w:left w:w="108" w:type="dxa"/>
            <w:bottom w:w="0" w:type="dxa"/>
            <w:right w:w="108" w:type="dxa"/>
          </w:tblCellMar>
        </w:tblPrEx>
        <w:trPr>
          <w:trHeight w:val="375" w:hRule="atLeast"/>
        </w:trPr>
        <w:tc>
          <w:tcPr>
            <w:tcW w:w="849"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第十八专业组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24</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空中乘务</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8000</w:t>
            </w:r>
          </w:p>
        </w:tc>
      </w:tr>
      <w:tr>
        <w:tblPrEx>
          <w:tblCellMar>
            <w:top w:w="0" w:type="dxa"/>
            <w:left w:w="108" w:type="dxa"/>
            <w:bottom w:w="0" w:type="dxa"/>
            <w:right w:w="108" w:type="dxa"/>
          </w:tblCellMar>
        </w:tblPrEx>
        <w:trPr>
          <w:trHeight w:val="375" w:hRule="atLeast"/>
        </w:trPr>
        <w:tc>
          <w:tcPr>
            <w:tcW w:w="84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第十九专业组</w:t>
            </w:r>
          </w:p>
        </w:tc>
        <w:tc>
          <w:tcPr>
            <w:tcW w:w="33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2246"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文化产业经营与管理（演艺策划与管理方向）</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3500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26</w:t>
            </w:r>
          </w:p>
        </w:tc>
        <w:tc>
          <w:tcPr>
            <w:tcW w:w="2246"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文物修复与保护</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5500</w:t>
            </w:r>
          </w:p>
        </w:tc>
      </w:tr>
      <w:tr>
        <w:tblPrEx>
          <w:tblCellMar>
            <w:top w:w="0" w:type="dxa"/>
            <w:left w:w="108" w:type="dxa"/>
            <w:bottom w:w="0" w:type="dxa"/>
            <w:right w:w="108" w:type="dxa"/>
          </w:tblCellMar>
        </w:tblPrEx>
        <w:trPr>
          <w:trHeight w:val="375" w:hRule="atLeast"/>
        </w:trPr>
        <w:tc>
          <w:tcPr>
            <w:tcW w:w="849" w:type="pct"/>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第二十专业组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27</w:t>
            </w:r>
          </w:p>
        </w:tc>
        <w:tc>
          <w:tcPr>
            <w:tcW w:w="2246" w:type="pct"/>
            <w:tcBorders>
              <w:top w:val="nil"/>
              <w:left w:val="nil"/>
              <w:bottom w:val="single" w:color="auto" w:sz="4" w:space="0"/>
              <w:right w:val="single" w:color="auto" w:sz="4" w:space="0"/>
            </w:tcBorders>
            <w:shd w:val="clear" w:color="auto" w:fill="auto"/>
            <w:vAlign w:val="bottom"/>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艺术教育</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45</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3500</w:t>
            </w:r>
          </w:p>
        </w:tc>
      </w:tr>
      <w:tr>
        <w:tblPrEx>
          <w:tblCellMar>
            <w:top w:w="0" w:type="dxa"/>
            <w:left w:w="108" w:type="dxa"/>
            <w:bottom w:w="0" w:type="dxa"/>
            <w:right w:w="108" w:type="dxa"/>
          </w:tblCellMar>
        </w:tblPrEx>
        <w:trPr>
          <w:trHeight w:val="375" w:hRule="atLeast"/>
        </w:trPr>
        <w:tc>
          <w:tcPr>
            <w:tcW w:w="849"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第二十一专业组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28</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摄影摄像技术</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29</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影视编导</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17</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30</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广播影视节目制作</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18</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31</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新闻采编与制作</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5500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32</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影视多媒体技术</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14</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5500</w:t>
            </w:r>
          </w:p>
        </w:tc>
      </w:tr>
      <w:tr>
        <w:tblPrEx>
          <w:tblCellMar>
            <w:top w:w="0" w:type="dxa"/>
            <w:left w:w="108" w:type="dxa"/>
            <w:bottom w:w="0" w:type="dxa"/>
            <w:right w:w="108" w:type="dxa"/>
          </w:tblCellMar>
        </w:tblPrEx>
        <w:trPr>
          <w:trHeight w:val="375" w:hRule="atLeast"/>
        </w:trPr>
        <w:tc>
          <w:tcPr>
            <w:tcW w:w="849" w:type="pct"/>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kern w:val="0"/>
                <w:sz w:val="24"/>
              </w:rPr>
            </w:pPr>
            <w:r>
              <w:rPr>
                <w:rFonts w:hint="eastAsia" w:ascii="宋体" w:hAnsi="宋体" w:cs="宋体"/>
                <w:b/>
                <w:bCs/>
                <w:kern w:val="0"/>
                <w:sz w:val="24"/>
              </w:rPr>
              <w:t>第二十二专业组</w:t>
            </w: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33</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播音与主持</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7500</w:t>
            </w:r>
          </w:p>
        </w:tc>
      </w:tr>
      <w:tr>
        <w:tblPrEx>
          <w:tblCellMar>
            <w:top w:w="0" w:type="dxa"/>
            <w:left w:w="108" w:type="dxa"/>
            <w:bottom w:w="0" w:type="dxa"/>
            <w:right w:w="108" w:type="dxa"/>
          </w:tblCellMar>
        </w:tblPrEx>
        <w:trPr>
          <w:trHeight w:val="375" w:hRule="atLeast"/>
        </w:trPr>
        <w:tc>
          <w:tcPr>
            <w:tcW w:w="849"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4"/>
              </w:rPr>
            </w:pPr>
          </w:p>
        </w:tc>
        <w:tc>
          <w:tcPr>
            <w:tcW w:w="33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34</w:t>
            </w:r>
          </w:p>
        </w:tc>
        <w:tc>
          <w:tcPr>
            <w:tcW w:w="2246"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网络直播与运营</w:t>
            </w:r>
          </w:p>
        </w:tc>
        <w:tc>
          <w:tcPr>
            <w:tcW w:w="75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40</w:t>
            </w:r>
          </w:p>
        </w:tc>
        <w:tc>
          <w:tcPr>
            <w:tcW w:w="815" w:type="pct"/>
            <w:tcBorders>
              <w:top w:val="nil"/>
              <w:left w:val="nil"/>
              <w:bottom w:val="single" w:color="auto" w:sz="4" w:space="0"/>
              <w:right w:val="single" w:color="auto" w:sz="4" w:space="0"/>
            </w:tcBorders>
          </w:tcPr>
          <w:p>
            <w:pPr>
              <w:widowControl/>
              <w:jc w:val="center"/>
              <w:rPr>
                <w:rFonts w:ascii="宋体" w:hAnsi="宋体" w:cs="宋体"/>
                <w:b/>
                <w:bCs/>
                <w:kern w:val="0"/>
                <w:sz w:val="24"/>
              </w:rPr>
            </w:pPr>
            <w:r>
              <w:rPr>
                <w:rFonts w:hint="eastAsia" w:ascii="宋体" w:hAnsi="宋体" w:cs="宋体"/>
                <w:b/>
                <w:bCs/>
                <w:kern w:val="0"/>
                <w:sz w:val="24"/>
              </w:rPr>
              <w:t>5500</w:t>
            </w:r>
          </w:p>
        </w:tc>
      </w:tr>
      <w:tr>
        <w:tblPrEx>
          <w:tblCellMar>
            <w:top w:w="0" w:type="dxa"/>
            <w:left w:w="108" w:type="dxa"/>
            <w:bottom w:w="0" w:type="dxa"/>
            <w:right w:w="108" w:type="dxa"/>
          </w:tblCellMar>
        </w:tblPrEx>
        <w:trPr>
          <w:trHeight w:val="375" w:hRule="atLeast"/>
        </w:trPr>
        <w:tc>
          <w:tcPr>
            <w:tcW w:w="3431" w:type="pct"/>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kern w:val="0"/>
                <w:sz w:val="24"/>
              </w:rPr>
              <w:t>合计</w:t>
            </w:r>
          </w:p>
        </w:tc>
        <w:tc>
          <w:tcPr>
            <w:tcW w:w="75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600</w:t>
            </w:r>
          </w:p>
        </w:tc>
        <w:tc>
          <w:tcPr>
            <w:tcW w:w="815" w:type="pct"/>
            <w:tcBorders>
              <w:top w:val="single" w:color="auto" w:sz="4" w:space="0"/>
              <w:left w:val="nil"/>
              <w:bottom w:val="single" w:color="auto" w:sz="4" w:space="0"/>
              <w:right w:val="single" w:color="auto" w:sz="4" w:space="0"/>
            </w:tcBorders>
          </w:tcPr>
          <w:p>
            <w:pPr>
              <w:widowControl/>
              <w:jc w:val="center"/>
              <w:rPr>
                <w:rFonts w:ascii="宋体" w:hAnsi="宋体" w:cs="宋体"/>
                <w:b/>
                <w:bCs/>
                <w:kern w:val="0"/>
                <w:sz w:val="24"/>
              </w:rPr>
            </w:pPr>
          </w:p>
        </w:tc>
      </w:tr>
    </w:tbl>
    <w:p>
      <w:pPr>
        <w:widowControl/>
        <w:spacing w:line="500" w:lineRule="exact"/>
        <w:jc w:val="left"/>
        <w:rPr>
          <w:rFonts w:ascii="等线" w:hAnsi="等线" w:eastAsia="仿宋" w:cs="仿宋"/>
          <w:sz w:val="28"/>
          <w:szCs w:val="28"/>
        </w:rPr>
      </w:pPr>
    </w:p>
    <w:p>
      <w:pPr>
        <w:widowControl/>
        <w:spacing w:line="500" w:lineRule="exact"/>
        <w:jc w:val="left"/>
        <w:rPr>
          <w:rFonts w:ascii="等线" w:hAnsi="等线" w:eastAsia="仿宋" w:cs="仿宋"/>
          <w:sz w:val="28"/>
          <w:szCs w:val="28"/>
        </w:rPr>
      </w:pPr>
    </w:p>
    <w:tbl>
      <w:tblPr>
        <w:tblStyle w:val="12"/>
        <w:tblpPr w:leftFromText="180" w:rightFromText="180" w:vertAnchor="text" w:horzAnchor="page" w:tblpX="570" w:tblpY="1129"/>
        <w:tblOverlap w:val="never"/>
        <w:tblW w:w="11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0"/>
        <w:gridCol w:w="2560"/>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268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专业名称</w:t>
            </w:r>
          </w:p>
        </w:tc>
        <w:tc>
          <w:tcPr>
            <w:tcW w:w="2560"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rPr>
            </w:pPr>
            <w:r>
              <w:rPr>
                <w:rFonts w:hint="eastAsia" w:ascii="宋体" w:hAnsi="宋体"/>
                <w:b/>
                <w:sz w:val="24"/>
              </w:rPr>
              <w:t>考试方向</w:t>
            </w:r>
          </w:p>
        </w:tc>
        <w:tc>
          <w:tcPr>
            <w:tcW w:w="5817"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rPr>
            </w:pPr>
            <w:r>
              <w:rPr>
                <w:rFonts w:hint="eastAsia" w:ascii="宋体" w:hAnsi="宋体"/>
                <w:b/>
                <w:sz w:val="24"/>
              </w:rPr>
              <w:t>职业技能测试考试内容及分值比例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戏曲音乐</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jc w:val="center"/>
              <w:rPr>
                <w:rFonts w:ascii="宋体" w:hAnsi="宋体"/>
                <w:b/>
                <w:sz w:val="24"/>
              </w:rPr>
            </w:pPr>
            <w:r>
              <w:rPr>
                <w:rFonts w:hint="eastAsia"/>
                <w:b/>
                <w:sz w:val="24"/>
              </w:rPr>
              <w:t>演奏、视唱、演唱（100%）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戏曲表演</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湘剧方向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演唱、念白、形体、表演（100%）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68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戏曲表演</w:t>
            </w:r>
          </w:p>
        </w:tc>
        <w:tc>
          <w:tcPr>
            <w:tcW w:w="2560" w:type="dxa"/>
            <w:tcBorders>
              <w:top w:val="single" w:color="auto" w:sz="4" w:space="0"/>
              <w:left w:val="single" w:color="auto" w:sz="4" w:space="0"/>
              <w:bottom w:val="single" w:color="auto" w:sz="4" w:space="0"/>
              <w:right w:val="single" w:color="auto" w:sz="4" w:space="0"/>
            </w:tcBorders>
          </w:tcPr>
          <w:p>
            <w:pPr>
              <w:jc w:val="center"/>
              <w:rPr>
                <w:b/>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杂技方向</w:t>
            </w:r>
          </w:p>
        </w:tc>
        <w:tc>
          <w:tcPr>
            <w:tcW w:w="5817"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 w:val="24"/>
              </w:rPr>
            </w:pPr>
            <w:r>
              <w:rPr>
                <w:rFonts w:hint="eastAsia" w:ascii="宋体" w:hAnsi="宋体" w:cs="宋体"/>
                <w:b/>
                <w:bCs/>
                <w:sz w:val="24"/>
              </w:rPr>
              <w:t>综合素质测评（10%）、顶功（20%）、软开（15%）、跟头（15%）、</w:t>
            </w:r>
          </w:p>
          <w:p>
            <w:pPr>
              <w:jc w:val="center"/>
              <w:rPr>
                <w:b/>
                <w:sz w:val="24"/>
              </w:rPr>
            </w:pPr>
            <w:r>
              <w:rPr>
                <w:rFonts w:hint="eastAsia" w:ascii="宋体" w:hAnsi="宋体" w:cs="宋体"/>
                <w:b/>
                <w:bCs/>
                <w:sz w:val="24"/>
              </w:rPr>
              <w:t>素质（10%）、节目（30%）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268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戏曲表演</w:t>
            </w:r>
          </w:p>
        </w:tc>
        <w:tc>
          <w:tcPr>
            <w:tcW w:w="2560" w:type="dxa"/>
            <w:tcBorders>
              <w:top w:val="single" w:color="auto" w:sz="4" w:space="0"/>
              <w:left w:val="single" w:color="auto" w:sz="4" w:space="0"/>
              <w:bottom w:val="single" w:color="auto" w:sz="4" w:space="0"/>
              <w:right w:val="single" w:color="auto" w:sz="4" w:space="0"/>
            </w:tcBorders>
          </w:tcPr>
          <w:p>
            <w:pPr>
              <w:jc w:val="center"/>
              <w:rPr>
                <w:b/>
                <w:color w:val="000000" w:themeColor="text1"/>
                <w:sz w:val="24"/>
                <w14:textFill>
                  <w14:solidFill>
                    <w14:schemeClr w14:val="tx1"/>
                  </w14:solidFill>
                </w14:textFill>
              </w:rPr>
            </w:pPr>
            <w:r>
              <w:rPr>
                <w:rFonts w:hint="eastAsia" w:ascii="宋体" w:hAnsi="宋体" w:cs="宋体"/>
                <w:b/>
                <w:bCs/>
                <w:color w:val="000000" w:themeColor="text1"/>
                <w:kern w:val="0"/>
                <w:sz w:val="24"/>
                <w:lang w:bidi="ar"/>
                <w14:textFill>
                  <w14:solidFill>
                    <w14:schemeClr w14:val="tx1"/>
                  </w14:solidFill>
                </w14:textFill>
              </w:rPr>
              <w:t>石门荆河戏方向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演唱（荆河戏唱腔）、念白、形体、表演（100%）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b/>
                <w:sz w:val="24"/>
              </w:rPr>
            </w:pPr>
            <w:r>
              <w:rPr>
                <w:rFonts w:hint="eastAsia"/>
                <w:b/>
                <w:sz w:val="24"/>
              </w:rPr>
              <w:t>音乐剧表演</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演唱、朗诵、表演、形体（100%）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b/>
                <w:sz w:val="24"/>
              </w:rPr>
            </w:pPr>
            <w:r>
              <w:rPr>
                <w:rFonts w:hint="eastAsia"/>
                <w:b/>
                <w:sz w:val="24"/>
              </w:rPr>
              <w:t>戏剧影视表演</w:t>
            </w:r>
          </w:p>
        </w:tc>
        <w:tc>
          <w:tcPr>
            <w:tcW w:w="2560" w:type="dxa"/>
            <w:tcBorders>
              <w:top w:val="single" w:color="auto" w:sz="4" w:space="0"/>
              <w:left w:val="single" w:color="auto" w:sz="4" w:space="0"/>
              <w:bottom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声乐、台词、形体、表演（100%）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tcBorders>
              <w:top w:val="single" w:color="auto" w:sz="4" w:space="0"/>
              <w:left w:val="single" w:color="auto" w:sz="4" w:space="0"/>
              <w:bottom w:val="single" w:color="auto" w:sz="4" w:space="0"/>
              <w:right w:val="single" w:color="auto" w:sz="4" w:space="0"/>
            </w:tcBorders>
          </w:tcPr>
          <w:p>
            <w:pPr>
              <w:ind w:left="118" w:hanging="118" w:hangingChars="49"/>
              <w:jc w:val="center"/>
              <w:rPr>
                <w:b/>
                <w:sz w:val="24"/>
              </w:rPr>
            </w:pPr>
            <w:r>
              <w:rPr>
                <w:rFonts w:hint="eastAsia"/>
                <w:b/>
                <w:sz w:val="24"/>
              </w:rPr>
              <w:t>音乐制作</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演奏、演唱（二选一）、视唱练耳（100%）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tcBorders>
              <w:top w:val="single" w:color="auto" w:sz="4" w:space="0"/>
              <w:left w:val="single" w:color="auto" w:sz="4" w:space="0"/>
              <w:bottom w:val="single" w:color="auto" w:sz="4" w:space="0"/>
              <w:right w:val="single" w:color="auto" w:sz="4" w:space="0"/>
            </w:tcBorders>
          </w:tcPr>
          <w:p>
            <w:pPr>
              <w:ind w:left="118" w:hanging="118" w:hangingChars="49"/>
              <w:jc w:val="center"/>
              <w:rPr>
                <w:b/>
                <w:sz w:val="24"/>
              </w:rPr>
            </w:pPr>
            <w:r>
              <w:rPr>
                <w:rFonts w:hint="eastAsia"/>
                <w:b/>
                <w:sz w:val="24"/>
              </w:rPr>
              <w:t>钢琴调律</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演奏、演唱（二选一）、视唱练耳（100%）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vMerge w:val="restart"/>
            <w:tcBorders>
              <w:top w:val="single" w:color="auto" w:sz="4" w:space="0"/>
              <w:left w:val="single" w:color="auto" w:sz="4" w:space="0"/>
              <w:right w:val="single" w:color="auto" w:sz="4" w:space="0"/>
            </w:tcBorders>
          </w:tcPr>
          <w:p>
            <w:pPr>
              <w:ind w:left="708" w:hanging="708" w:hangingChars="294"/>
              <w:jc w:val="center"/>
              <w:rPr>
                <w:b/>
                <w:sz w:val="24"/>
              </w:rPr>
            </w:pPr>
          </w:p>
          <w:p>
            <w:pPr>
              <w:ind w:left="708" w:hanging="708" w:hangingChars="294"/>
              <w:jc w:val="center"/>
              <w:rPr>
                <w:b/>
                <w:sz w:val="24"/>
              </w:rPr>
            </w:pPr>
          </w:p>
          <w:p>
            <w:pPr>
              <w:jc w:val="center"/>
              <w:rPr>
                <w:b/>
                <w:sz w:val="24"/>
              </w:rPr>
            </w:pPr>
          </w:p>
          <w:p>
            <w:pPr>
              <w:jc w:val="center"/>
              <w:rPr>
                <w:b/>
                <w:sz w:val="24"/>
              </w:rPr>
            </w:pPr>
          </w:p>
          <w:p>
            <w:pPr>
              <w:jc w:val="center"/>
              <w:rPr>
                <w:b/>
                <w:sz w:val="24"/>
              </w:rPr>
            </w:pPr>
            <w:r>
              <w:rPr>
                <w:rFonts w:hint="eastAsia"/>
                <w:b/>
                <w:sz w:val="24"/>
              </w:rPr>
              <w:t>音乐表演</w:t>
            </w: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中国歌剧方向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演唱中国歌剧作品一首、朗诵、形体、表演、视唱练耳（100%）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vMerge w:val="continue"/>
            <w:tcBorders>
              <w:left w:val="single" w:color="auto" w:sz="4" w:space="0"/>
              <w:right w:val="single" w:color="auto" w:sz="4" w:space="0"/>
            </w:tcBorders>
            <w:vAlign w:val="center"/>
          </w:tcPr>
          <w:p>
            <w:pPr>
              <w:widowControl/>
              <w:ind w:firstLine="588" w:firstLineChars="244"/>
              <w:jc w:val="center"/>
              <w:rPr>
                <w:b/>
                <w:sz w:val="24"/>
              </w:rPr>
            </w:pP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民族美声演唱方向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演唱、朗诵、形体或器乐演奏、视唱练耳（100%）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vMerge w:val="continue"/>
            <w:tcBorders>
              <w:left w:val="single" w:color="auto" w:sz="4" w:space="0"/>
              <w:right w:val="single" w:color="auto" w:sz="4" w:space="0"/>
            </w:tcBorders>
            <w:vAlign w:val="center"/>
          </w:tcPr>
          <w:p>
            <w:pPr>
              <w:widowControl/>
              <w:ind w:firstLine="588" w:firstLineChars="244"/>
              <w:jc w:val="center"/>
              <w:rPr>
                <w:b/>
                <w:sz w:val="24"/>
              </w:rPr>
            </w:pP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流行演唱演奏方向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演唱方向：演唱、形体或器乐演奏、视唱练耳（100%）</w:t>
            </w:r>
          </w:p>
          <w:p>
            <w:pPr>
              <w:jc w:val="center"/>
              <w:rPr>
                <w:b/>
                <w:sz w:val="24"/>
              </w:rPr>
            </w:pPr>
            <w:r>
              <w:rPr>
                <w:b/>
                <w:sz w:val="24"/>
              </w:rPr>
              <w:t>演奏方向</w:t>
            </w:r>
            <w:r>
              <w:rPr>
                <w:rFonts w:hint="eastAsia"/>
                <w:b/>
                <w:sz w:val="24"/>
              </w:rPr>
              <w:t>：</w:t>
            </w:r>
            <w:r>
              <w:rPr>
                <w:b/>
                <w:sz w:val="24"/>
              </w:rPr>
              <w:t>演奏、视奏、演唱、视唱练耳</w:t>
            </w:r>
            <w:r>
              <w:rPr>
                <w:rFonts w:hint="eastAsia"/>
                <w:b/>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vMerge w:val="continue"/>
            <w:tcBorders>
              <w:left w:val="single" w:color="auto" w:sz="4" w:space="0"/>
              <w:right w:val="single" w:color="auto" w:sz="4" w:space="0"/>
            </w:tcBorders>
            <w:vAlign w:val="center"/>
          </w:tcPr>
          <w:p>
            <w:pPr>
              <w:widowControl/>
              <w:ind w:firstLine="588" w:firstLineChars="244"/>
              <w:jc w:val="center"/>
              <w:rPr>
                <w:b/>
                <w:sz w:val="24"/>
              </w:rPr>
            </w:pP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键盘方向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演奏乐曲一首、练习曲一首、视奏、演唱、视唱练耳（100%）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680" w:type="dxa"/>
            <w:vMerge w:val="continue"/>
            <w:tcBorders>
              <w:left w:val="single" w:color="auto" w:sz="4" w:space="0"/>
              <w:bottom w:val="single" w:color="auto" w:sz="4" w:space="0"/>
              <w:right w:val="single" w:color="auto" w:sz="4" w:space="0"/>
            </w:tcBorders>
            <w:vAlign w:val="center"/>
          </w:tcPr>
          <w:p>
            <w:pPr>
              <w:widowControl/>
              <w:ind w:firstLine="588" w:firstLineChars="244"/>
              <w:jc w:val="center"/>
              <w:rPr>
                <w:b/>
                <w:sz w:val="24"/>
              </w:rPr>
            </w:pP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国乐与管弦方向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演奏乐曲一首、练习曲一首、视奏、演唱、视唱练耳（100%）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2680" w:type="dxa"/>
            <w:tcBorders>
              <w:left w:val="single" w:color="auto" w:sz="4" w:space="0"/>
              <w:right w:val="single" w:color="auto" w:sz="4" w:space="0"/>
            </w:tcBorders>
            <w:vAlign w:val="center"/>
          </w:tcPr>
          <w:p>
            <w:pPr>
              <w:ind w:left="118" w:hanging="118" w:hangingChars="49"/>
              <w:jc w:val="center"/>
            </w:pPr>
            <w:r>
              <w:rPr>
                <w:rFonts w:hint="eastAsia"/>
                <w:b/>
                <w:sz w:val="24"/>
              </w:rPr>
              <w:t>舞蹈表演</w:t>
            </w:r>
          </w:p>
        </w:tc>
        <w:tc>
          <w:tcPr>
            <w:tcW w:w="2560" w:type="dxa"/>
            <w:tcBorders>
              <w:top w:val="single" w:color="auto" w:sz="4" w:space="0"/>
              <w:left w:val="single" w:color="auto" w:sz="4" w:space="0"/>
              <w:right w:val="single" w:color="auto" w:sz="4" w:space="0"/>
            </w:tcBorders>
          </w:tcPr>
          <w:p>
            <w:pPr>
              <w:jc w:val="center"/>
              <w:rPr>
                <w:b/>
                <w:sz w:val="24"/>
              </w:rPr>
            </w:pPr>
          </w:p>
        </w:tc>
        <w:tc>
          <w:tcPr>
            <w:tcW w:w="5817" w:type="dxa"/>
            <w:tcBorders>
              <w:top w:val="single" w:color="auto" w:sz="4" w:space="0"/>
              <w:left w:val="single" w:color="auto" w:sz="4" w:space="0"/>
              <w:right w:val="single" w:color="auto" w:sz="4" w:space="0"/>
            </w:tcBorders>
          </w:tcPr>
          <w:p>
            <w:pPr>
              <w:jc w:val="center"/>
              <w:rPr>
                <w:b/>
                <w:sz w:val="24"/>
              </w:rPr>
            </w:pPr>
            <w:r>
              <w:rPr>
                <w:rFonts w:hint="eastAsia"/>
                <w:b/>
                <w:sz w:val="24"/>
              </w:rPr>
              <w:t>形象、基训技巧、模仿、剧目（100%）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2680" w:type="dxa"/>
            <w:tcBorders>
              <w:left w:val="single" w:color="auto" w:sz="4" w:space="0"/>
              <w:right w:val="single" w:color="auto" w:sz="4" w:space="0"/>
            </w:tcBorders>
            <w:vAlign w:val="center"/>
          </w:tcPr>
          <w:p>
            <w:pPr>
              <w:ind w:left="118" w:hanging="118" w:hangingChars="49"/>
              <w:jc w:val="center"/>
              <w:rPr>
                <w:b/>
                <w:sz w:val="24"/>
              </w:rPr>
            </w:pPr>
            <w:r>
              <w:rPr>
                <w:rFonts w:hint="eastAsia"/>
                <w:b/>
                <w:sz w:val="24"/>
              </w:rPr>
              <w:t>国际标准舞</w:t>
            </w:r>
          </w:p>
        </w:tc>
        <w:tc>
          <w:tcPr>
            <w:tcW w:w="2560" w:type="dxa"/>
            <w:tcBorders>
              <w:top w:val="single" w:color="auto" w:sz="4" w:space="0"/>
              <w:left w:val="single" w:color="auto" w:sz="4" w:space="0"/>
              <w:right w:val="single" w:color="auto" w:sz="4" w:space="0"/>
            </w:tcBorders>
          </w:tcPr>
          <w:p>
            <w:pPr>
              <w:jc w:val="center"/>
              <w:rPr>
                <w:b/>
                <w:sz w:val="24"/>
              </w:rPr>
            </w:pPr>
          </w:p>
        </w:tc>
        <w:tc>
          <w:tcPr>
            <w:tcW w:w="5817" w:type="dxa"/>
            <w:tcBorders>
              <w:top w:val="single" w:color="auto" w:sz="4" w:space="0"/>
              <w:left w:val="single" w:color="auto" w:sz="4" w:space="0"/>
              <w:right w:val="single" w:color="auto" w:sz="4" w:space="0"/>
            </w:tcBorders>
          </w:tcPr>
          <w:p>
            <w:pPr>
              <w:jc w:val="center"/>
              <w:rPr>
                <w:b/>
                <w:sz w:val="24"/>
              </w:rPr>
            </w:pPr>
            <w:r>
              <w:rPr>
                <w:rFonts w:hint="eastAsia"/>
                <w:b/>
                <w:sz w:val="24"/>
              </w:rPr>
              <w:t>形象、基训技巧、模仿、剧目（100%）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80" w:type="dxa"/>
            <w:vMerge w:val="restart"/>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环境艺术设计</w:t>
            </w:r>
          </w:p>
        </w:tc>
        <w:tc>
          <w:tcPr>
            <w:tcW w:w="2560" w:type="dxa"/>
            <w:tcBorders>
              <w:top w:val="single" w:color="auto" w:sz="4" w:space="0"/>
              <w:left w:val="single" w:color="auto" w:sz="4" w:space="0"/>
              <w:bottom w:val="single" w:color="auto" w:sz="4" w:space="0"/>
              <w:right w:val="single" w:color="auto" w:sz="4" w:space="0"/>
            </w:tcBorders>
          </w:tcPr>
          <w:p>
            <w:pPr>
              <w:ind w:left="361" w:hanging="361" w:hangingChars="150"/>
              <w:jc w:val="center"/>
              <w:rPr>
                <w:b/>
                <w:sz w:val="24"/>
              </w:rPr>
            </w:pPr>
            <w:r>
              <w:rPr>
                <w:rFonts w:hint="eastAsia"/>
                <w:b/>
                <w:sz w:val="24"/>
              </w:rPr>
              <w:t>景观方向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w:t>
            </w:r>
            <w:r>
              <w:rPr>
                <w:b/>
                <w:sz w:val="24"/>
              </w:rPr>
              <w:t>80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80" w:type="dxa"/>
            <w:vMerge w:val="continue"/>
            <w:tcBorders>
              <w:left w:val="single" w:color="auto" w:sz="4" w:space="0"/>
              <w:bottom w:val="single" w:color="auto" w:sz="4" w:space="0"/>
              <w:right w:val="single" w:color="auto" w:sz="4" w:space="0"/>
            </w:tcBorders>
            <w:vAlign w:val="center"/>
          </w:tcPr>
          <w:p>
            <w:pPr>
              <w:widowControl/>
              <w:ind w:firstLine="1205" w:firstLineChars="500"/>
              <w:jc w:val="center"/>
              <w:rPr>
                <w:b/>
                <w:sz w:val="24"/>
              </w:rPr>
            </w:pPr>
          </w:p>
        </w:tc>
        <w:tc>
          <w:tcPr>
            <w:tcW w:w="2560"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b/>
                <w:sz w:val="24"/>
              </w:rPr>
              <w:t>室内方向</w:t>
            </w:r>
          </w:p>
        </w:tc>
        <w:tc>
          <w:tcPr>
            <w:tcW w:w="5817" w:type="dxa"/>
            <w:tcBorders>
              <w:top w:val="single" w:color="auto" w:sz="4" w:space="0"/>
              <w:left w:val="single" w:color="auto" w:sz="4" w:space="0"/>
              <w:bottom w:val="single" w:color="auto" w:sz="4" w:space="0"/>
              <w:right w:val="single" w:color="auto" w:sz="4" w:space="0"/>
            </w:tcBorders>
          </w:tcPr>
          <w:p>
            <w:pPr>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w:t>
            </w:r>
            <w:r>
              <w:rPr>
                <w:b/>
                <w:sz w:val="24"/>
              </w:rPr>
              <w:t>80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人物形象设计</w:t>
            </w:r>
          </w:p>
        </w:tc>
        <w:tc>
          <w:tcPr>
            <w:tcW w:w="2560" w:type="dxa"/>
            <w:tcBorders>
              <w:top w:val="single" w:color="auto" w:sz="4" w:space="0"/>
              <w:left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right w:val="single" w:color="auto" w:sz="4" w:space="0"/>
            </w:tcBorders>
          </w:tcPr>
          <w:p>
            <w:pPr>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、素描、服装设计（二选一）（</w:t>
            </w:r>
            <w:r>
              <w:rPr>
                <w:b/>
                <w:sz w:val="24"/>
              </w:rPr>
              <w:t>80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80" w:type="dxa"/>
            <w:tcBorders>
              <w:left w:val="single" w:color="auto" w:sz="4" w:space="0"/>
              <w:bottom w:val="single" w:color="auto" w:sz="4" w:space="0"/>
              <w:right w:val="single" w:color="auto" w:sz="4" w:space="0"/>
            </w:tcBorders>
            <w:vAlign w:val="center"/>
          </w:tcPr>
          <w:p>
            <w:pPr>
              <w:widowControl/>
              <w:jc w:val="center"/>
              <w:rPr>
                <w:b/>
                <w:sz w:val="24"/>
              </w:rPr>
            </w:pPr>
            <w:r>
              <w:rPr>
                <w:rFonts w:hint="eastAsia"/>
                <w:b/>
                <w:sz w:val="24"/>
              </w:rPr>
              <w:t>广告艺术设计</w:t>
            </w:r>
          </w:p>
        </w:tc>
        <w:tc>
          <w:tcPr>
            <w:tcW w:w="2560" w:type="dxa"/>
            <w:tcBorders>
              <w:top w:val="single" w:color="auto" w:sz="4" w:space="0"/>
              <w:left w:val="single" w:color="auto" w:sz="4" w:space="0"/>
              <w:bottom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w:t>
            </w:r>
            <w:r>
              <w:rPr>
                <w:b/>
                <w:sz w:val="24"/>
              </w:rPr>
              <w:t>80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b/>
                <w:sz w:val="24"/>
              </w:rPr>
            </w:pPr>
            <w:r>
              <w:rPr>
                <w:rFonts w:hint="eastAsia"/>
                <w:b/>
                <w:sz w:val="24"/>
              </w:rPr>
              <w:t>舞台艺术设计与制作</w:t>
            </w:r>
          </w:p>
        </w:tc>
        <w:tc>
          <w:tcPr>
            <w:tcW w:w="2560" w:type="dxa"/>
            <w:tcBorders>
              <w:top w:val="single" w:color="auto" w:sz="4" w:space="0"/>
              <w:left w:val="single" w:color="auto" w:sz="4" w:space="0"/>
              <w:bottom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widowControl/>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w:t>
            </w:r>
            <w:r>
              <w:rPr>
                <w:b/>
                <w:sz w:val="24"/>
              </w:rPr>
              <w:t>80</w:t>
            </w:r>
            <w:r>
              <w:rPr>
                <w:rFonts w:hint="eastAsia"/>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80" w:type="dxa"/>
            <w:tcBorders>
              <w:top w:val="single" w:color="auto" w:sz="4" w:space="0"/>
              <w:left w:val="single" w:color="auto" w:sz="4" w:space="0"/>
              <w:bottom w:val="single" w:color="auto" w:sz="4" w:space="0"/>
              <w:right w:val="single" w:color="auto" w:sz="4" w:space="0"/>
            </w:tcBorders>
            <w:vAlign w:val="center"/>
          </w:tcPr>
          <w:p>
            <w:pPr>
              <w:widowControl/>
              <w:jc w:val="center"/>
              <w:rPr>
                <w:b/>
                <w:sz w:val="24"/>
              </w:rPr>
            </w:pPr>
            <w:r>
              <w:rPr>
                <w:rFonts w:hint="eastAsia"/>
                <w:b/>
                <w:sz w:val="24"/>
              </w:rPr>
              <w:t>影视照明技术与艺术</w:t>
            </w:r>
          </w:p>
        </w:tc>
        <w:tc>
          <w:tcPr>
            <w:tcW w:w="2560" w:type="dxa"/>
            <w:tcBorders>
              <w:top w:val="single" w:color="auto" w:sz="4" w:space="0"/>
              <w:left w:val="single" w:color="auto" w:sz="4" w:space="0"/>
              <w:bottom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bottom w:val="single" w:color="auto" w:sz="4" w:space="0"/>
              <w:right w:val="single" w:color="auto" w:sz="4" w:space="0"/>
            </w:tcBorders>
          </w:tcPr>
          <w:p>
            <w:pPr>
              <w:widowControl/>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、素描</w:t>
            </w:r>
            <w:r>
              <w:rPr>
                <w:rFonts w:hint="eastAsia"/>
                <w:b/>
                <w:color w:val="000000" w:themeColor="text1"/>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680" w:type="dxa"/>
            <w:tcBorders>
              <w:top w:val="single" w:color="auto" w:sz="4" w:space="0"/>
              <w:left w:val="single" w:color="auto" w:sz="4" w:space="0"/>
              <w:right w:val="single" w:color="auto" w:sz="4" w:space="0"/>
            </w:tcBorders>
            <w:vAlign w:val="center"/>
          </w:tcPr>
          <w:p>
            <w:pPr>
              <w:widowControl/>
              <w:ind w:firstLine="723" w:firstLineChars="300"/>
              <w:rPr>
                <w:b/>
                <w:sz w:val="24"/>
              </w:rPr>
            </w:pPr>
            <w:r>
              <w:rPr>
                <w:rFonts w:hint="eastAsia"/>
                <w:b/>
                <w:sz w:val="24"/>
              </w:rPr>
              <w:t>影视编导</w:t>
            </w:r>
          </w:p>
        </w:tc>
        <w:tc>
          <w:tcPr>
            <w:tcW w:w="2560" w:type="dxa"/>
            <w:tcBorders>
              <w:top w:val="single" w:color="auto" w:sz="4" w:space="0"/>
              <w:left w:val="single" w:color="auto" w:sz="4" w:space="0"/>
              <w:right w:val="single" w:color="auto" w:sz="4" w:space="0"/>
            </w:tcBorders>
          </w:tcPr>
          <w:p>
            <w:pPr>
              <w:jc w:val="center"/>
              <w:rPr>
                <w:b/>
                <w:sz w:val="24"/>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、作品分析（80%）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影视多媒体技术</w:t>
            </w:r>
          </w:p>
        </w:tc>
        <w:tc>
          <w:tcPr>
            <w:tcW w:w="2560" w:type="dxa"/>
            <w:tcBorders>
              <w:top w:val="single" w:color="auto" w:sz="4" w:space="0"/>
              <w:left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right w:val="single" w:color="auto" w:sz="4" w:space="0"/>
            </w:tcBorders>
          </w:tcPr>
          <w:p>
            <w:pPr>
              <w:widowControl/>
              <w:jc w:val="center"/>
              <w:rPr>
                <w:b/>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、作品分析（80%）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摄影摄像技术</w:t>
            </w:r>
          </w:p>
        </w:tc>
        <w:tc>
          <w:tcPr>
            <w:tcW w:w="2560" w:type="dxa"/>
            <w:tcBorders>
              <w:top w:val="single" w:color="auto" w:sz="4" w:space="0"/>
              <w:left w:val="single" w:color="auto" w:sz="4" w:space="0"/>
              <w:right w:val="single" w:color="auto" w:sz="4" w:space="0"/>
            </w:tcBorders>
          </w:tcPr>
          <w:p>
            <w:pPr>
              <w:jc w:val="center"/>
              <w:rPr>
                <w:b/>
                <w:sz w:val="24"/>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、作品分析（80%）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广播影视节目制作</w:t>
            </w:r>
          </w:p>
        </w:tc>
        <w:tc>
          <w:tcPr>
            <w:tcW w:w="2560" w:type="dxa"/>
            <w:tcBorders>
              <w:top w:val="single" w:color="auto" w:sz="4" w:space="0"/>
              <w:left w:val="single" w:color="auto" w:sz="4" w:space="0"/>
              <w:right w:val="single" w:color="auto" w:sz="4" w:space="0"/>
            </w:tcBorders>
          </w:tcPr>
          <w:p>
            <w:pPr>
              <w:ind w:firstLine="482" w:firstLineChars="200"/>
              <w:jc w:val="center"/>
              <w:rPr>
                <w:b/>
                <w:sz w:val="24"/>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、作品分析（80%）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影视动画</w:t>
            </w:r>
          </w:p>
        </w:tc>
        <w:tc>
          <w:tcPr>
            <w:tcW w:w="2560" w:type="dxa"/>
            <w:tcBorders>
              <w:top w:val="single" w:color="auto" w:sz="4" w:space="0"/>
              <w:left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w:t>
            </w:r>
            <w:r>
              <w:rPr>
                <w:rFonts w:hint="eastAsia" w:ascii="宋体" w:hAnsi="宋体" w:cs="宋体"/>
                <w:b/>
                <w:kern w:val="0"/>
                <w:sz w:val="24"/>
              </w:rPr>
              <w:t>素描</w:t>
            </w:r>
            <w:r>
              <w:rPr>
                <w:rFonts w:hint="eastAsia"/>
                <w:b/>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680" w:type="dxa"/>
            <w:tcBorders>
              <w:top w:val="single" w:color="auto" w:sz="4" w:space="0"/>
              <w:left w:val="single" w:color="auto" w:sz="4" w:space="0"/>
              <w:right w:val="single" w:color="auto" w:sz="4" w:space="0"/>
            </w:tcBorders>
            <w:vAlign w:val="center"/>
          </w:tcPr>
          <w:p>
            <w:pPr>
              <w:widowControl/>
              <w:jc w:val="center"/>
              <w:rPr>
                <w:b/>
                <w:sz w:val="24"/>
              </w:rPr>
            </w:pPr>
            <w:r>
              <w:rPr>
                <w:rFonts w:hint="eastAsia"/>
                <w:b/>
                <w:sz w:val="24"/>
              </w:rPr>
              <w:t>新闻采编与制作</w:t>
            </w:r>
          </w:p>
        </w:tc>
        <w:tc>
          <w:tcPr>
            <w:tcW w:w="2560" w:type="dxa"/>
            <w:tcBorders>
              <w:top w:val="single" w:color="auto" w:sz="4" w:space="0"/>
              <w:left w:val="single" w:color="auto" w:sz="4" w:space="0"/>
              <w:right w:val="single" w:color="auto" w:sz="4" w:space="0"/>
            </w:tcBorders>
          </w:tcPr>
          <w:p>
            <w:pPr>
              <w:ind w:left="361" w:hanging="361" w:hangingChars="150"/>
              <w:jc w:val="center"/>
              <w:rPr>
                <w:b/>
                <w:sz w:val="24"/>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kern w:val="0"/>
                <w:sz w:val="24"/>
              </w:rPr>
            </w:pPr>
            <w:r>
              <w:rPr>
                <w:rFonts w:hint="eastAsia" w:ascii="宋体" w:hAnsi="宋体" w:cs="宋体"/>
                <w:b/>
                <w:bCs/>
                <w:sz w:val="24"/>
              </w:rPr>
              <w:t>综合素质测评</w:t>
            </w:r>
            <w:r>
              <w:rPr>
                <w:rFonts w:hint="eastAsia" w:ascii="宋体" w:hAnsi="宋体" w:cs="宋体"/>
                <w:b/>
                <w:kern w:val="0"/>
                <w:sz w:val="24"/>
              </w:rPr>
              <w:t>（20</w:t>
            </w:r>
            <w:r>
              <w:rPr>
                <w:rFonts w:hint="eastAsia"/>
                <w:b/>
                <w:sz w:val="24"/>
              </w:rPr>
              <w:t>%</w:t>
            </w:r>
            <w:r>
              <w:rPr>
                <w:rFonts w:hint="eastAsia" w:ascii="宋体" w:hAnsi="宋体" w:cs="宋体"/>
                <w:b/>
                <w:kern w:val="0"/>
                <w:sz w:val="24"/>
              </w:rPr>
              <w:t>）</w:t>
            </w:r>
            <w:r>
              <w:rPr>
                <w:rFonts w:hint="eastAsia"/>
                <w:b/>
                <w:sz w:val="24"/>
              </w:rPr>
              <w:t>、作品分析（80%）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680" w:type="dxa"/>
            <w:tcBorders>
              <w:top w:val="single" w:color="auto" w:sz="4" w:space="0"/>
              <w:left w:val="single" w:color="auto" w:sz="4" w:space="0"/>
              <w:right w:val="single" w:color="auto" w:sz="4" w:space="0"/>
            </w:tcBorders>
            <w:vAlign w:val="center"/>
          </w:tcPr>
          <w:p>
            <w:pPr>
              <w:widowControl/>
              <w:ind w:left="1205" w:hanging="1205" w:hangingChars="500"/>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文化产业经营与管理</w:t>
            </w:r>
          </w:p>
        </w:tc>
        <w:tc>
          <w:tcPr>
            <w:tcW w:w="2560" w:type="dxa"/>
            <w:tcBorders>
              <w:top w:val="single" w:color="auto" w:sz="4" w:space="0"/>
              <w:left w:val="single" w:color="auto" w:sz="4" w:space="0"/>
              <w:right w:val="single" w:color="auto" w:sz="4" w:space="0"/>
            </w:tcBorders>
          </w:tcPr>
          <w:p>
            <w:pPr>
              <w:jc w:val="center"/>
              <w:rPr>
                <w:b/>
                <w:color w:val="000000" w:themeColor="text1"/>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演艺策划与管理方向</w:t>
            </w:r>
          </w:p>
        </w:tc>
        <w:tc>
          <w:tcPr>
            <w:tcW w:w="5817" w:type="dxa"/>
            <w:tcBorders>
              <w:top w:val="single" w:color="auto" w:sz="4" w:space="0"/>
              <w:left w:val="single" w:color="auto" w:sz="4" w:space="0"/>
              <w:bottom w:val="single" w:color="auto" w:sz="4" w:space="0"/>
              <w:right w:val="single" w:color="auto" w:sz="4" w:space="0"/>
            </w:tcBorders>
          </w:tcPr>
          <w:p>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sz w:val="24"/>
              </w:rPr>
              <w:t>综合素质测评</w:t>
            </w:r>
            <w:r>
              <w:rPr>
                <w:rFonts w:hint="eastAsia" w:ascii="宋体" w:hAnsi="宋体" w:cs="宋体"/>
                <w:b/>
                <w:color w:val="000000" w:themeColor="text1"/>
                <w:kern w:val="0"/>
                <w:sz w:val="24"/>
                <w14:textFill>
                  <w14:solidFill>
                    <w14:schemeClr w14:val="tx1"/>
                  </w14:solidFill>
                </w14:textFill>
              </w:rPr>
              <w:t>（20</w:t>
            </w:r>
            <w:r>
              <w:rPr>
                <w:rFonts w:hint="eastAsia"/>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w:t>
            </w:r>
            <w:r>
              <w:rPr>
                <w:rFonts w:hint="eastAsia"/>
                <w:b/>
                <w:color w:val="000000" w:themeColor="text1"/>
                <w:sz w:val="24"/>
                <w14:textFill>
                  <w14:solidFill>
                    <w14:schemeClr w14:val="tx1"/>
                  </w14:solidFill>
                </w14:textFill>
              </w:rPr>
              <w:t>、专业知识问答（80%）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2680" w:type="dxa"/>
            <w:tcBorders>
              <w:top w:val="single" w:color="auto" w:sz="4" w:space="0"/>
              <w:left w:val="single" w:color="auto" w:sz="4" w:space="0"/>
              <w:right w:val="single" w:color="auto" w:sz="4" w:space="0"/>
            </w:tcBorders>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文物修复与保护</w:t>
            </w:r>
          </w:p>
        </w:tc>
        <w:tc>
          <w:tcPr>
            <w:tcW w:w="2560" w:type="dxa"/>
            <w:tcBorders>
              <w:top w:val="single" w:color="auto" w:sz="4" w:space="0"/>
              <w:left w:val="single" w:color="auto" w:sz="4" w:space="0"/>
              <w:right w:val="single" w:color="auto" w:sz="4" w:space="0"/>
            </w:tcBorders>
          </w:tcPr>
          <w:p>
            <w:pPr>
              <w:ind w:left="361" w:hanging="361" w:hangingChars="150"/>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sz w:val="24"/>
              </w:rPr>
              <w:t>综合素质测评</w:t>
            </w:r>
            <w:r>
              <w:rPr>
                <w:rFonts w:hint="eastAsia" w:ascii="宋体" w:hAnsi="宋体" w:cs="宋体"/>
                <w:b/>
                <w:color w:val="000000" w:themeColor="text1"/>
                <w:kern w:val="0"/>
                <w:sz w:val="24"/>
                <w14:textFill>
                  <w14:solidFill>
                    <w14:schemeClr w14:val="tx1"/>
                  </w14:solidFill>
                </w14:textFill>
              </w:rPr>
              <w:t>（20</w:t>
            </w:r>
            <w:r>
              <w:rPr>
                <w:rFonts w:hint="eastAsia"/>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w:t>
            </w:r>
            <w:r>
              <w:rPr>
                <w:rFonts w:hint="eastAsia"/>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器物线图临摹</w:t>
            </w:r>
            <w:r>
              <w:rPr>
                <w:rFonts w:hint="eastAsia"/>
                <w:b/>
                <w:color w:val="000000" w:themeColor="text1"/>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680" w:type="dxa"/>
            <w:tcBorders>
              <w:top w:val="single" w:color="auto" w:sz="4" w:space="0"/>
              <w:left w:val="single" w:color="auto" w:sz="4" w:space="0"/>
              <w:right w:val="single" w:color="auto" w:sz="4" w:space="0"/>
            </w:tcBorders>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空中乘务</w:t>
            </w:r>
          </w:p>
        </w:tc>
        <w:tc>
          <w:tcPr>
            <w:tcW w:w="2560" w:type="dxa"/>
            <w:tcBorders>
              <w:top w:val="single" w:color="auto" w:sz="4" w:space="0"/>
              <w:left w:val="single" w:color="auto" w:sz="4" w:space="0"/>
              <w:right w:val="single" w:color="auto" w:sz="4" w:space="0"/>
            </w:tcBorders>
          </w:tcPr>
          <w:p>
            <w:pPr>
              <w:ind w:left="361" w:hanging="361" w:hangingChars="150"/>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自我介绍(10</w:t>
            </w:r>
            <w:r>
              <w:rPr>
                <w:rFonts w:hint="eastAsia"/>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w:t>
            </w:r>
            <w:r>
              <w:rPr>
                <w:rFonts w:hint="eastAsia"/>
                <w:b/>
                <w:color w:val="000000" w:themeColor="text1"/>
                <w:sz w:val="24"/>
                <w14:textFill>
                  <w14:solidFill>
                    <w14:schemeClr w14:val="tx1"/>
                  </w14:solidFill>
                </w14:textFill>
              </w:rPr>
              <w:t>、才艺展示（10%）、(</w:t>
            </w:r>
            <w:r>
              <w:rPr>
                <w:rFonts w:hint="eastAsia" w:ascii="宋体" w:hAnsi="宋体" w:cs="宋体"/>
                <w:b/>
                <w:color w:val="000000" w:themeColor="text1"/>
                <w:kern w:val="0"/>
                <w:sz w:val="24"/>
                <w14:textFill>
                  <w14:solidFill>
                    <w14:schemeClr w14:val="tx1"/>
                  </w14:solidFill>
                </w14:textFill>
              </w:rPr>
              <w:t>身体协调性、广播词播报、情景模拟（80%）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680" w:type="dxa"/>
            <w:tcBorders>
              <w:top w:val="single" w:color="auto" w:sz="4" w:space="0"/>
              <w:left w:val="single" w:color="auto" w:sz="4" w:space="0"/>
              <w:right w:val="single" w:color="auto" w:sz="4" w:space="0"/>
            </w:tcBorders>
            <w:vAlign w:val="center"/>
          </w:tcPr>
          <w:p>
            <w:pPr>
              <w:pStyle w:val="1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酒店管理与数字化运营</w:t>
            </w:r>
          </w:p>
        </w:tc>
        <w:tc>
          <w:tcPr>
            <w:tcW w:w="2560" w:type="dxa"/>
            <w:tcBorders>
              <w:top w:val="single" w:color="auto" w:sz="4" w:space="0"/>
              <w:left w:val="single" w:color="auto" w:sz="4" w:space="0"/>
              <w:right w:val="single" w:color="auto" w:sz="4" w:space="0"/>
            </w:tcBorders>
          </w:tcPr>
          <w:p>
            <w:pPr>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jc w:val="center"/>
              <w:rPr>
                <w:b/>
                <w:color w:val="000000" w:themeColor="text1"/>
                <w:sz w:val="24"/>
                <w14:textFill>
                  <w14:solidFill>
                    <w14:schemeClr w14:val="tx1"/>
                  </w14:solidFill>
                </w14:textFill>
              </w:rPr>
            </w:pPr>
            <w:r>
              <w:rPr>
                <w:rFonts w:hint="eastAsia" w:ascii="宋体" w:hAnsi="宋体" w:cs="宋体"/>
                <w:b/>
                <w:bCs/>
                <w:sz w:val="24"/>
              </w:rPr>
              <w:t>综合素质测评</w:t>
            </w:r>
            <w:r>
              <w:rPr>
                <w:rFonts w:hint="eastAsia" w:ascii="宋体" w:hAnsi="宋体" w:cs="宋体"/>
                <w:b/>
                <w:color w:val="000000" w:themeColor="text1"/>
                <w:kern w:val="0"/>
                <w:sz w:val="24"/>
                <w14:textFill>
                  <w14:solidFill>
                    <w14:schemeClr w14:val="tx1"/>
                  </w14:solidFill>
                </w14:textFill>
              </w:rPr>
              <w:t>（20</w:t>
            </w:r>
            <w:r>
              <w:rPr>
                <w:rFonts w:hint="eastAsia"/>
                <w:b/>
                <w:color w:val="000000" w:themeColor="text1"/>
                <w:sz w:val="24"/>
                <w14:textFill>
                  <w14:solidFill>
                    <w14:schemeClr w14:val="tx1"/>
                  </w14:solidFill>
                </w14:textFill>
              </w:rPr>
              <w:t>%</w:t>
            </w:r>
            <w:r>
              <w:rPr>
                <w:rFonts w:hint="eastAsia" w:ascii="宋体" w:hAnsi="宋体" w:cs="宋体"/>
                <w:b/>
                <w:color w:val="000000" w:themeColor="text1"/>
                <w:kern w:val="0"/>
                <w:sz w:val="24"/>
                <w14:textFill>
                  <w14:solidFill>
                    <w14:schemeClr w14:val="tx1"/>
                  </w14:solidFill>
                </w14:textFill>
              </w:rPr>
              <w:t>）、（职业礼仪、服务情景模拟)（80%）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2680" w:type="dxa"/>
            <w:tcBorders>
              <w:top w:val="single" w:color="auto" w:sz="4" w:space="0"/>
              <w:left w:val="single" w:color="auto" w:sz="4" w:space="0"/>
              <w:right w:val="single" w:color="auto" w:sz="4" w:space="0"/>
            </w:tcBorders>
            <w:vAlign w:val="center"/>
          </w:tcPr>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播音与主持</w:t>
            </w:r>
          </w:p>
        </w:tc>
        <w:tc>
          <w:tcPr>
            <w:tcW w:w="2560" w:type="dxa"/>
            <w:tcBorders>
              <w:top w:val="single" w:color="auto" w:sz="4" w:space="0"/>
              <w:left w:val="single" w:color="auto" w:sz="4" w:space="0"/>
              <w:right w:val="single" w:color="auto" w:sz="4" w:space="0"/>
            </w:tcBorders>
          </w:tcPr>
          <w:p>
            <w:pPr>
              <w:ind w:left="361" w:hanging="361" w:hangingChars="150"/>
              <w:jc w:val="center"/>
              <w:rPr>
                <w:b/>
                <w:color w:val="000000" w:themeColor="text1"/>
                <w:sz w:val="24"/>
                <w14:textFill>
                  <w14:solidFill>
                    <w14:schemeClr w14:val="tx1"/>
                  </w14:solidFill>
                </w14:textFill>
              </w:rPr>
            </w:pPr>
          </w:p>
          <w:p>
            <w:pPr>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color w:val="000000" w:themeColor="text1"/>
                <w:kern w:val="0"/>
                <w:sz w:val="24"/>
                <w14:textFill>
                  <w14:solidFill>
                    <w14:schemeClr w14:val="tx1"/>
                  </w14:solidFill>
                </w14:textFill>
              </w:rPr>
            </w:pPr>
            <w:r>
              <w:rPr>
                <w:rFonts w:ascii="宋体" w:hAnsi="宋体" w:cs="宋体"/>
                <w:b/>
                <w:color w:val="000000" w:themeColor="text1"/>
                <w:kern w:val="0"/>
                <w:sz w:val="24"/>
                <w14:textFill>
                  <w14:solidFill>
                    <w14:schemeClr w14:val="tx1"/>
                  </w14:solidFill>
                </w14:textFill>
              </w:rPr>
              <w:t>自我介绍</w:t>
            </w:r>
            <w:r>
              <w:rPr>
                <w:rFonts w:hint="eastAsia" w:ascii="宋体" w:hAnsi="宋体" w:cs="宋体"/>
                <w:b/>
                <w:color w:val="000000" w:themeColor="text1"/>
                <w:kern w:val="0"/>
                <w:sz w:val="24"/>
                <w14:textFill>
                  <w14:solidFill>
                    <w14:schemeClr w14:val="tx1"/>
                  </w14:solidFill>
                </w14:textFill>
              </w:rPr>
              <w:t>（20%）</w:t>
            </w:r>
            <w:r>
              <w:rPr>
                <w:rFonts w:hint="eastAsia"/>
                <w:b/>
                <w:color w:val="000000" w:themeColor="text1"/>
                <w:sz w:val="24"/>
                <w14:textFill>
                  <w14:solidFill>
                    <w14:schemeClr w14:val="tx1"/>
                  </w14:solidFill>
                </w14:textFill>
              </w:rPr>
              <w:t>、</w:t>
            </w:r>
            <w:r>
              <w:rPr>
                <w:rFonts w:ascii="宋体" w:hAnsi="宋体" w:cs="宋体"/>
                <w:b/>
                <w:color w:val="000000" w:themeColor="text1"/>
                <w:kern w:val="0"/>
                <w:sz w:val="24"/>
                <w14:textFill>
                  <w14:solidFill>
                    <w14:schemeClr w14:val="tx1"/>
                  </w14:solidFill>
                </w14:textFill>
              </w:rPr>
              <w:t>朗诵自备稿件、指定稿件播读、根据题目即兴评述或模拟主持、回答考官提问、才艺展示</w:t>
            </w:r>
            <w:r>
              <w:rPr>
                <w:rFonts w:hint="eastAsia" w:ascii="宋体" w:hAnsi="宋体" w:cs="宋体"/>
                <w:b/>
                <w:color w:val="000000" w:themeColor="text1"/>
                <w:kern w:val="0"/>
                <w:sz w:val="24"/>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680" w:type="dxa"/>
            <w:tcBorders>
              <w:top w:val="single" w:color="auto" w:sz="4" w:space="0"/>
              <w:left w:val="single" w:color="auto" w:sz="4" w:space="0"/>
              <w:right w:val="single" w:color="auto" w:sz="4" w:space="0"/>
            </w:tcBorders>
            <w:vAlign w:val="center"/>
          </w:tcPr>
          <w:p>
            <w:pPr>
              <w:pStyle w:val="1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艺术教育</w:t>
            </w:r>
          </w:p>
        </w:tc>
        <w:tc>
          <w:tcPr>
            <w:tcW w:w="2560" w:type="dxa"/>
            <w:tcBorders>
              <w:top w:val="single" w:color="auto" w:sz="4" w:space="0"/>
              <w:left w:val="single" w:color="auto" w:sz="4" w:space="0"/>
              <w:right w:val="single" w:color="auto" w:sz="4" w:space="0"/>
            </w:tcBorders>
          </w:tcPr>
          <w:p>
            <w:pPr>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jc w:val="center"/>
              <w:rPr>
                <w:rFonts w:ascii="宋体" w:hAnsi="宋体" w:cs="宋体"/>
                <w:b/>
                <w:color w:val="000000" w:themeColor="text1"/>
                <w:kern w:val="0"/>
                <w:sz w:val="24"/>
                <w14:textFill>
                  <w14:solidFill>
                    <w14:schemeClr w14:val="tx1"/>
                  </w14:solidFill>
                </w14:textFill>
              </w:rPr>
            </w:pPr>
            <w:r>
              <w:rPr>
                <w:rFonts w:hint="eastAsia"/>
                <w:b/>
                <w:color w:val="000000" w:themeColor="text1"/>
                <w:sz w:val="24"/>
                <w14:textFill>
                  <w14:solidFill>
                    <w14:schemeClr w14:val="tx1"/>
                  </w14:solidFill>
                </w14:textFill>
              </w:rPr>
              <w:t>自我介绍（15%）</w:t>
            </w:r>
            <w:r>
              <w:rPr>
                <w:rFonts w:hint="eastAsia" w:ascii="宋体" w:hAnsi="宋体" w:cs="宋体"/>
                <w:b/>
                <w:color w:val="000000" w:themeColor="text1"/>
                <w:kern w:val="0"/>
                <w:sz w:val="24"/>
                <w14:textFill>
                  <w14:solidFill>
                    <w14:schemeClr w14:val="tx1"/>
                  </w14:solidFill>
                </w14:textFill>
              </w:rPr>
              <w:t>、</w:t>
            </w:r>
            <w:r>
              <w:rPr>
                <w:rFonts w:hint="eastAsia"/>
                <w:b/>
                <w:color w:val="000000" w:themeColor="text1"/>
                <w:sz w:val="24"/>
                <w14:textFill>
                  <w14:solidFill>
                    <w14:schemeClr w14:val="tx1"/>
                  </w14:solidFill>
                </w14:textFill>
              </w:rPr>
              <w:t>曲谱视唱（5%）</w:t>
            </w:r>
            <w:r>
              <w:rPr>
                <w:rFonts w:ascii="宋体" w:hAnsi="宋体" w:cs="宋体"/>
                <w:b/>
                <w:color w:val="000000" w:themeColor="text1"/>
                <w:kern w:val="0"/>
                <w:sz w:val="24"/>
                <w14:textFill>
                  <w14:solidFill>
                    <w14:schemeClr w14:val="tx1"/>
                  </w14:solidFill>
                </w14:textFill>
              </w:rPr>
              <w:t>、</w:t>
            </w:r>
            <w:r>
              <w:rPr>
                <w:rFonts w:hint="eastAsia"/>
                <w:b/>
                <w:color w:val="000000" w:themeColor="text1"/>
                <w:sz w:val="24"/>
                <w14:textFill>
                  <w14:solidFill>
                    <w14:schemeClr w14:val="tx1"/>
                  </w14:solidFill>
                </w14:textFill>
              </w:rPr>
              <w:t>才艺展示（仅限舞蹈）（8</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2680" w:type="dxa"/>
            <w:tcBorders>
              <w:left w:val="single" w:color="auto" w:sz="4" w:space="0"/>
              <w:right w:val="single" w:color="auto" w:sz="4" w:space="0"/>
            </w:tcBorders>
            <w:vAlign w:val="center"/>
          </w:tcPr>
          <w:p>
            <w:pPr>
              <w:pStyle w:val="10"/>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网络直播与运营</w:t>
            </w:r>
          </w:p>
        </w:tc>
        <w:tc>
          <w:tcPr>
            <w:tcW w:w="2560" w:type="dxa"/>
            <w:tcBorders>
              <w:left w:val="single" w:color="auto" w:sz="4" w:space="0"/>
              <w:right w:val="single" w:color="auto" w:sz="4" w:space="0"/>
            </w:tcBorders>
          </w:tcPr>
          <w:p>
            <w:pPr>
              <w:jc w:val="center"/>
              <w:rPr>
                <w:b/>
                <w:color w:val="000000" w:themeColor="text1"/>
                <w:sz w:val="24"/>
                <w14:textFill>
                  <w14:solidFill>
                    <w14:schemeClr w14:val="tx1"/>
                  </w14:solidFill>
                </w14:textFill>
              </w:rPr>
            </w:pPr>
          </w:p>
        </w:tc>
        <w:tc>
          <w:tcPr>
            <w:tcW w:w="5817" w:type="dxa"/>
            <w:tcBorders>
              <w:top w:val="single" w:color="auto" w:sz="4" w:space="0"/>
              <w:left w:val="single" w:color="auto" w:sz="4" w:space="0"/>
              <w:right w:val="single" w:color="auto" w:sz="4" w:space="0"/>
            </w:tcBorders>
          </w:tcPr>
          <w:p>
            <w:pPr>
              <w:widowControl/>
              <w:jc w:val="center"/>
              <w:rPr>
                <w:rFonts w:ascii="宋体" w:hAnsi="宋体" w:cs="宋体"/>
                <w:b/>
                <w:color w:val="000000" w:themeColor="text1"/>
                <w:kern w:val="0"/>
                <w:sz w:val="24"/>
                <w14:textFill>
                  <w14:solidFill>
                    <w14:schemeClr w14:val="tx1"/>
                  </w14:solidFill>
                </w14:textFill>
              </w:rPr>
            </w:pPr>
            <w:r>
              <w:rPr>
                <w:rFonts w:hint="eastAsia" w:ascii="宋体" w:hAnsi="宋体" w:cs="宋体"/>
                <w:b/>
                <w:bCs/>
                <w:sz w:val="24"/>
              </w:rPr>
              <w:t>综合素质测评</w:t>
            </w:r>
            <w:r>
              <w:rPr>
                <w:rFonts w:hint="eastAsia" w:ascii="宋体" w:hAnsi="宋体" w:cs="宋体"/>
                <w:b/>
                <w:color w:val="000000" w:themeColor="text1"/>
                <w:kern w:val="0"/>
                <w:sz w:val="24"/>
                <w14:textFill>
                  <w14:solidFill>
                    <w14:schemeClr w14:val="tx1"/>
                  </w14:solidFill>
                </w14:textFill>
              </w:rPr>
              <w:t>（20%）</w:t>
            </w:r>
            <w:r>
              <w:rPr>
                <w:rFonts w:hint="eastAsia"/>
                <w:b/>
                <w:color w:val="000000" w:themeColor="text1"/>
                <w:sz w:val="24"/>
                <w14:textFill>
                  <w14:solidFill>
                    <w14:schemeClr w14:val="tx1"/>
                  </w14:solidFill>
                </w14:textFill>
              </w:rPr>
              <w:t>、专业知识问答（</w:t>
            </w:r>
            <w:r>
              <w:rPr>
                <w:b/>
                <w:color w:val="000000" w:themeColor="text1"/>
                <w:sz w:val="24"/>
                <w14:textFill>
                  <w14:solidFill>
                    <w14:schemeClr w14:val="tx1"/>
                  </w14:solidFill>
                </w14:textFill>
              </w:rPr>
              <w:t>6</w:t>
            </w:r>
            <w:r>
              <w:rPr>
                <w:rFonts w:hint="eastAsia"/>
                <w:b/>
                <w:color w:val="000000" w:themeColor="text1"/>
                <w:sz w:val="24"/>
                <w14:textFill>
                  <w14:solidFill>
                    <w14:schemeClr w14:val="tx1"/>
                  </w14:solidFill>
                </w14:textFill>
              </w:rPr>
              <w:t>0%）、才艺展示（2</w:t>
            </w:r>
            <w:r>
              <w:rPr>
                <w:b/>
                <w:color w:val="000000" w:themeColor="text1"/>
                <w:sz w:val="24"/>
                <w14:textFill>
                  <w14:solidFill>
                    <w14:schemeClr w14:val="tx1"/>
                  </w14:solidFill>
                </w14:textFill>
              </w:rPr>
              <w:t>0</w:t>
            </w:r>
            <w:r>
              <w:rPr>
                <w:rFonts w:hint="eastAsia"/>
                <w:b/>
                <w:color w:val="000000" w:themeColor="text1"/>
                <w:sz w:val="24"/>
                <w14:textFill>
                  <w14:solidFill>
                    <w14:schemeClr w14:val="tx1"/>
                  </w14:solidFill>
                </w14:textFill>
              </w:rPr>
              <w:t>%）</w:t>
            </w:r>
          </w:p>
        </w:tc>
      </w:tr>
    </w:tbl>
    <w:p>
      <w:pPr>
        <w:widowControl/>
        <w:spacing w:line="500" w:lineRule="exact"/>
        <w:jc w:val="left"/>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注：1.以上专业中，</w:t>
      </w:r>
      <w:r>
        <w:rPr>
          <w:rFonts w:hint="eastAsia" w:ascii="仿宋" w:hAnsi="仿宋" w:eastAsia="仿宋" w:cs="仿宋"/>
          <w:color w:val="000000" w:themeColor="text1"/>
          <w:kern w:val="0"/>
          <w:sz w:val="28"/>
          <w:szCs w:val="28"/>
          <w:lang w:bidi="ar"/>
          <w14:textFill>
            <w14:solidFill>
              <w14:schemeClr w14:val="tx1"/>
            </w14:solidFill>
          </w14:textFill>
        </w:rPr>
        <w:t>戏曲表演（杂技方向）、戏曲表演（石门荆河戏方向）</w:t>
      </w:r>
      <w:r>
        <w:rPr>
          <w:rFonts w:hint="eastAsia" w:ascii="仿宋" w:hAnsi="仿宋" w:eastAsia="仿宋" w:cs="仿宋"/>
          <w:color w:val="000000" w:themeColor="text1"/>
          <w:kern w:val="0"/>
          <w:sz w:val="28"/>
          <w:szCs w:val="28"/>
          <w14:textFill>
            <w14:solidFill>
              <w14:schemeClr w14:val="tx1"/>
            </w14:solidFill>
          </w14:textFill>
        </w:rPr>
        <w:t>专业为我校校企合作订单班，报考这两个专业方向的考生必须有杂技和荆河戏专业基础。</w:t>
      </w:r>
    </w:p>
    <w:p>
      <w:pPr>
        <w:widowControl/>
        <w:spacing w:line="500" w:lineRule="exact"/>
        <w:ind w:left="560"/>
        <w:jc w:val="left"/>
        <w:rPr>
          <w:rFonts w:ascii="仿宋" w:hAnsi="仿宋" w:eastAsia="仿宋" w:cs="仿宋"/>
          <w:sz w:val="28"/>
          <w:szCs w:val="28"/>
        </w:rPr>
      </w:pPr>
      <w:r>
        <w:rPr>
          <w:rFonts w:hint="eastAsia" w:ascii="仿宋" w:hAnsi="仿宋" w:eastAsia="仿宋" w:cs="仿宋"/>
          <w:sz w:val="28"/>
          <w:szCs w:val="28"/>
        </w:rPr>
        <w:t>2.艺术教育专业仅限才艺展示项目为舞蹈的学生报考。</w:t>
      </w:r>
    </w:p>
    <w:p>
      <w:pPr>
        <w:widowControl/>
        <w:spacing w:line="500" w:lineRule="exact"/>
        <w:ind w:firstLine="562" w:firstLineChars="200"/>
        <w:jc w:val="left"/>
        <w:rPr>
          <w:rFonts w:ascii="仿宋" w:hAnsi="仿宋" w:eastAsia="仿宋" w:cs="宋体"/>
          <w:kern w:val="0"/>
          <w:sz w:val="28"/>
        </w:rPr>
      </w:pPr>
      <w:r>
        <w:rPr>
          <w:rFonts w:hint="eastAsia" w:ascii="等线" w:hAnsi="等线" w:eastAsia="仿宋" w:cs="仿宋"/>
          <w:b/>
          <w:bCs/>
          <w:sz w:val="28"/>
          <w:szCs w:val="28"/>
        </w:rPr>
        <w:t xml:space="preserve">第十三条  </w:t>
      </w:r>
      <w:r>
        <w:rPr>
          <w:rFonts w:hint="eastAsia" w:ascii="仿宋" w:hAnsi="仿宋" w:eastAsia="仿宋" w:cs="宋体"/>
          <w:kern w:val="0"/>
          <w:sz w:val="28"/>
        </w:rPr>
        <w:t>单列计划及专业说明。根据省教育厅政策规定，单列计划纳入我校单招总计划，且均包含在各相关专业的招生计划内，未录满的计划自动转为普通类计划。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ascii="仿宋" w:hAnsi="仿宋" w:eastAsia="仿宋" w:cs="宋体"/>
          <w:kern w:val="0"/>
          <w:sz w:val="28"/>
        </w:rPr>
      </w:pPr>
      <w:r>
        <w:rPr>
          <w:rFonts w:hint="eastAsia" w:ascii="仿宋" w:hAnsi="仿宋" w:eastAsia="仿宋" w:cs="宋体"/>
          <w:kern w:val="0"/>
          <w:sz w:val="28"/>
        </w:rPr>
        <w:t>1.退役军人计划5</w:t>
      </w:r>
      <w:r>
        <w:rPr>
          <w:rFonts w:hint="eastAsia" w:ascii="等线" w:hAnsi="等线" w:eastAsia="仿宋" w:cs="仿宋"/>
          <w:sz w:val="28"/>
          <w:szCs w:val="28"/>
        </w:rPr>
        <w:t>人，考生</w:t>
      </w:r>
      <w:r>
        <w:rPr>
          <w:rFonts w:hint="eastAsia" w:ascii="仿宋" w:hAnsi="仿宋" w:eastAsia="仿宋" w:cs="宋体"/>
          <w:kern w:val="0"/>
          <w:sz w:val="28"/>
        </w:rPr>
        <w:t>可在上表专业范围内自行选择报考，但每个专业最多录取1人。</w:t>
      </w:r>
    </w:p>
    <w:p>
      <w:pPr>
        <w:spacing w:line="600" w:lineRule="exact"/>
        <w:ind w:firstLine="562" w:firstLineChars="200"/>
        <w:rPr>
          <w:rFonts w:ascii="仿宋" w:hAnsi="仿宋" w:eastAsia="仿宋" w:cs="仿宋"/>
          <w:color w:val="000000"/>
          <w:sz w:val="28"/>
          <w:szCs w:val="28"/>
        </w:rPr>
      </w:pPr>
      <w:r>
        <w:rPr>
          <w:rFonts w:hint="eastAsia" w:ascii="等线" w:hAnsi="等线" w:eastAsia="仿宋" w:cs="宋体"/>
          <w:b/>
          <w:bCs/>
          <w:kern w:val="0"/>
          <w:sz w:val="28"/>
        </w:rPr>
        <w:t>第十四条</w:t>
      </w:r>
      <w:r>
        <w:rPr>
          <w:rFonts w:hint="eastAsia" w:ascii="等线" w:hAnsi="等线" w:eastAsia="仿宋" w:cs="宋体"/>
          <w:kern w:val="0"/>
          <w:sz w:val="28"/>
        </w:rPr>
        <w:t xml:space="preserve"> 学校在考试结束后，以实际参考人数为基数，按比例确定各专业不同类别考生的计划数。学校各专业各类别计划确定并公布后，一律不调整和追加。单招未完成的计划转为统招计划使用。</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单招考试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第十五条 </w:t>
      </w:r>
      <w:r>
        <w:rPr>
          <w:rFonts w:hint="eastAsia" w:ascii="等线" w:hAnsi="等线" w:eastAsia="仿宋" w:cs="仿宋"/>
          <w:sz w:val="28"/>
          <w:szCs w:val="28"/>
        </w:rPr>
        <w:t>学校将本着公平、公正、择优录取的原则，按照国家教育考试相关规定，在省教育厅、省教育考试院的指导和监督下组织单招考试的相关工作。</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第十六条 </w:t>
      </w:r>
      <w:r>
        <w:rPr>
          <w:rFonts w:hint="eastAsia" w:ascii="等线" w:hAnsi="等线" w:eastAsia="仿宋" w:cs="仿宋"/>
          <w:sz w:val="28"/>
          <w:szCs w:val="28"/>
        </w:rPr>
        <w:t>参加学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3个大类。</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第十七条 </w:t>
      </w:r>
      <w:r>
        <w:rPr>
          <w:rFonts w:hint="eastAsia" w:ascii="等线" w:hAnsi="等线" w:eastAsia="仿宋" w:cs="仿宋"/>
          <w:sz w:val="28"/>
          <w:szCs w:val="28"/>
        </w:rPr>
        <w:t>按照“文化素质+职业技能”方式，分类组织考试。根据考生的类别，考试按以下方式进行。</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1.第一类：应届普通高中毕业考生。文化素质测试成绩以学生取得的高中学业水平合格性考试语文、数学、外语等科目有效成绩代替。职业技能测试由学校组织，学校分专业组，按照人才培养需要，采取职业技能实操方式进行，重点考察学生的职业适应性。</w:t>
      </w:r>
    </w:p>
    <w:p>
      <w:pPr>
        <w:spacing w:line="500" w:lineRule="exact"/>
        <w:ind w:firstLine="560" w:firstLineChars="200"/>
        <w:rPr>
          <w:rFonts w:ascii="等线" w:hAnsi="等线" w:eastAsia="仿宋" w:cs="仿宋"/>
          <w:color w:val="EE822F" w:themeColor="accent2"/>
          <w:sz w:val="28"/>
          <w:szCs w:val="28"/>
          <w14:textFill>
            <w14:solidFill>
              <w14:schemeClr w14:val="accent2"/>
            </w14:solidFill>
          </w14:textFill>
        </w:rPr>
      </w:pPr>
      <w:r>
        <w:rPr>
          <w:rFonts w:hint="eastAsia" w:ascii="等线" w:hAnsi="等线" w:eastAsia="仿宋" w:cs="仿宋"/>
          <w:sz w:val="28"/>
          <w:szCs w:val="28"/>
        </w:rPr>
        <w:t>2.第二类：中职考生和往届普通高中考生及同等学力考生。文化素质测试由学校依据《中等职业学校公共基础课课程标准》及高中教育阶段语文、数学、英语等有关内容进行命题及考试。职业技能测试由学校组织，学校分专业组，按照人才培养需要，采取职业技能实操等方式进行，重点考察学生的职业技能。</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3.第三类：退役军人考生免予文化素质测试。职业技能测试由学校组织，参照上述第一、二类考生职业技能测试方式，参加学校组织的职业技能测试。</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第十八条</w:t>
      </w:r>
      <w:r>
        <w:rPr>
          <w:rFonts w:hint="eastAsia" w:ascii="等线" w:hAnsi="等线" w:eastAsia="仿宋" w:cs="仿宋"/>
          <w:sz w:val="28"/>
          <w:szCs w:val="28"/>
        </w:rPr>
        <w:t xml:space="preserve"> 考生的综合成绩为文化素质测试成绩+职业技能测试成绩。上述第一类、第二类考生的高职单招综合成绩（总成绩）满分为600分，第三类考生的综合成绩满分为300分。第一类、第二类考生综合成绩计算方式=文化素质测试成绩+职业技能测试原始成绩（总分为100分）X3，第三类考生的综合成绩计算方式=职业技能测试原始成绩（总分为100分）X3，第一类、第二类考生文化素质测试成绩与职业技能测试成绩录取时占比为3：7。</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第十九条</w:t>
      </w:r>
      <w:r>
        <w:rPr>
          <w:rFonts w:hint="eastAsia" w:ascii="等线" w:hAnsi="等线" w:eastAsia="仿宋" w:cs="仿宋"/>
          <w:sz w:val="28"/>
          <w:szCs w:val="28"/>
        </w:rPr>
        <w:t xml:space="preserve">  我校针对第二类考生组织的文化素质测试为闭卷笔试方式。我校组织职业技能测试，采取实践操作方式进行。</w:t>
      </w:r>
    </w:p>
    <w:p>
      <w:pPr>
        <w:spacing w:line="500" w:lineRule="exact"/>
        <w:ind w:firstLine="562"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b/>
          <w:bCs/>
          <w:sz w:val="28"/>
          <w:szCs w:val="28"/>
        </w:rPr>
        <w:t>第二十条</w:t>
      </w:r>
      <w:r>
        <w:rPr>
          <w:rFonts w:hint="eastAsia" w:ascii="等线" w:hAnsi="等线" w:eastAsia="仿宋" w:cs="仿宋"/>
          <w:sz w:val="28"/>
          <w:szCs w:val="28"/>
        </w:rPr>
        <w:t xml:space="preserve">  我校将按照分类考试的原则，对不同专业组的职业技能测试分别进行命题。我校文化素质测试、职业技能测试的有关说明、考试范围等，将在我校官网上进行公布。</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第二十一条 </w:t>
      </w:r>
      <w:r>
        <w:rPr>
          <w:rFonts w:hint="eastAsia" w:ascii="等线" w:hAnsi="等线" w:eastAsia="仿宋" w:cs="仿宋"/>
          <w:sz w:val="28"/>
          <w:szCs w:val="28"/>
        </w:rPr>
        <w:t xml:space="preserve"> 符合以下免试条件的考生在单招考试前向学校申请。其中，职业技能特长申请免技能测试的考生，须在2024年3月5日16：00前，通过本人带上身份证原件方式，将相关申请材料（</w:t>
      </w:r>
      <w:r>
        <w:rPr>
          <w:rFonts w:hint="eastAsia" w:ascii="仿宋" w:hAnsi="仿宋" w:eastAsia="仿宋"/>
          <w:sz w:val="28"/>
        </w:rPr>
        <w:t>身份证原件及复印件、相关获奖证书原件及复印件）</w:t>
      </w:r>
      <w:r>
        <w:rPr>
          <w:rFonts w:hint="eastAsia" w:ascii="等线" w:hAnsi="等线" w:eastAsia="仿宋" w:cs="仿宋"/>
          <w:sz w:val="28"/>
          <w:szCs w:val="28"/>
        </w:rPr>
        <w:t>报我校招生就业与创新创业指导处审核（具体地址：博艺楼1017办公室，联系方式：0731-88838967）。。免试直接录取的考生不占用单招计划数，使用我校统招计划，在统招录取前完成录取手续办理，有关审核程序和方法由省教育考试院另行规定。</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1.免试直接录取。根据教育部政策规定，中等职业教育应届毕业生，在校期间在世界技能组织主办的“世界技能大赛（World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录取到我校就读。</w:t>
      </w:r>
    </w:p>
    <w:p>
      <w:pPr>
        <w:spacing w:line="500" w:lineRule="exact"/>
        <w:ind w:firstLine="560" w:firstLineChars="200"/>
        <w:rPr>
          <w:rFonts w:ascii="等线" w:hAnsi="等线" w:eastAsia="仿宋" w:cs="仿宋"/>
          <w:sz w:val="28"/>
          <w:szCs w:val="28"/>
        </w:rPr>
      </w:pPr>
      <w:r>
        <w:rPr>
          <w:rFonts w:hint="eastAsia" w:ascii="等线" w:hAnsi="等线" w:eastAsia="仿宋" w:cs="仿宋"/>
          <w:sz w:val="28"/>
          <w:szCs w:val="28"/>
        </w:rPr>
        <w:t>2.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spacing w:line="500" w:lineRule="exact"/>
        <w:ind w:firstLine="560" w:firstLineChars="200"/>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3.免试考生的录取专业与其获奖赛项对应（考生如需跨专业报考，则不能享受免试政策）。</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第二十二条</w:t>
      </w:r>
      <w:r>
        <w:rPr>
          <w:rFonts w:hint="eastAsia" w:ascii="等线" w:hAnsi="等线" w:eastAsia="仿宋" w:cs="仿宋"/>
          <w:sz w:val="28"/>
          <w:szCs w:val="28"/>
        </w:rPr>
        <w:t xml:space="preserve"> 学校按一志愿、二志愿分别组织单招考试。第一志愿考试时间为2024年3月16日-17日。若第一志愿生源不足，未完成单招计划，我校将组织第二志愿考试，参考对象为第二志愿报考我校且未被第一志愿学校录取考生，时间为2024年4月13日-14日。各科目的具体考试时间及地点将在我校官网上另行公布。</w:t>
      </w:r>
    </w:p>
    <w:p>
      <w:pPr>
        <w:spacing w:line="500" w:lineRule="exact"/>
        <w:ind w:firstLine="562" w:firstLineChars="200"/>
        <w:rPr>
          <w:rFonts w:ascii="仿宋" w:hAnsi="仿宋" w:eastAsia="仿宋" w:cs="仿宋"/>
          <w:sz w:val="28"/>
          <w:szCs w:val="28"/>
        </w:rPr>
      </w:pPr>
      <w:r>
        <w:rPr>
          <w:rFonts w:hint="eastAsia" w:ascii="等线" w:hAnsi="等线" w:eastAsia="仿宋" w:cs="仿宋"/>
          <w:b/>
          <w:bCs/>
          <w:sz w:val="28"/>
          <w:szCs w:val="28"/>
        </w:rPr>
        <w:t xml:space="preserve">第二十三条 </w:t>
      </w:r>
      <w:r>
        <w:rPr>
          <w:rFonts w:hint="eastAsia" w:ascii="等线" w:hAnsi="等线" w:eastAsia="仿宋" w:cs="仿宋"/>
          <w:sz w:val="28"/>
          <w:szCs w:val="28"/>
        </w:rPr>
        <w:t>根据物价部门统一规定，高职单招的报考费为80元/生。报考我校第</w:t>
      </w:r>
      <w:r>
        <w:rPr>
          <w:rFonts w:hint="eastAsia" w:ascii="仿宋" w:hAnsi="仿宋" w:eastAsia="仿宋" w:cs="仿宋"/>
          <w:sz w:val="28"/>
          <w:szCs w:val="28"/>
        </w:rPr>
        <w:t>一志愿的考生费缴纳时间为</w:t>
      </w:r>
      <w:r>
        <w:rPr>
          <w:rFonts w:hint="eastAsia" w:ascii="等线" w:hAnsi="等线" w:eastAsia="仿宋" w:cs="仿宋"/>
          <w:sz w:val="28"/>
          <w:szCs w:val="28"/>
        </w:rPr>
        <w:t>2024年3月9日下午17:00-12日中午12：00，</w:t>
      </w:r>
      <w:r>
        <w:rPr>
          <w:rFonts w:hint="eastAsia" w:ascii="仿宋" w:hAnsi="仿宋" w:eastAsia="仿宋" w:cs="仿宋"/>
          <w:sz w:val="28"/>
          <w:szCs w:val="28"/>
        </w:rPr>
        <w:t>缴纳方式为微信支付，缴费流程及具体方法详见学院官网。未在规定时间内缴费的，不得参加我校单招考试及录取。缴费成功的考生于</w:t>
      </w:r>
      <w:r>
        <w:rPr>
          <w:rFonts w:hint="eastAsia" w:ascii="仿宋" w:hAnsi="仿宋" w:eastAsia="仿宋" w:cs="仿宋"/>
          <w:b/>
          <w:bCs/>
          <w:sz w:val="28"/>
          <w:szCs w:val="28"/>
        </w:rPr>
        <w:t>2024年</w:t>
      </w:r>
      <w:r>
        <w:rPr>
          <w:rFonts w:hint="eastAsia" w:ascii="等线" w:hAnsi="等线" w:eastAsia="仿宋" w:cs="仿宋"/>
          <w:b/>
          <w:bCs/>
          <w:sz w:val="28"/>
          <w:szCs w:val="28"/>
        </w:rPr>
        <w:t xml:space="preserve"> 3</w:t>
      </w:r>
      <w:r>
        <w:rPr>
          <w:rFonts w:hint="eastAsia" w:ascii="仿宋" w:hAnsi="仿宋" w:eastAsia="仿宋" w:cs="仿宋"/>
          <w:b/>
          <w:bCs/>
          <w:sz w:val="28"/>
          <w:szCs w:val="28"/>
        </w:rPr>
        <w:t>月</w:t>
      </w:r>
      <w:r>
        <w:rPr>
          <w:rFonts w:hint="eastAsia" w:ascii="等线" w:hAnsi="等线" w:eastAsia="仿宋" w:cs="仿宋"/>
          <w:b/>
          <w:bCs/>
          <w:sz w:val="28"/>
          <w:szCs w:val="28"/>
        </w:rPr>
        <w:t xml:space="preserve">14 </w:t>
      </w:r>
      <w:r>
        <w:rPr>
          <w:rFonts w:hint="eastAsia" w:ascii="仿宋" w:hAnsi="仿宋" w:eastAsia="仿宋" w:cs="仿宋"/>
          <w:b/>
          <w:bCs/>
          <w:sz w:val="28"/>
          <w:szCs w:val="28"/>
        </w:rPr>
        <w:t>日-15日</w:t>
      </w:r>
      <w:r>
        <w:rPr>
          <w:rFonts w:hint="eastAsia" w:ascii="仿宋" w:hAnsi="仿宋" w:eastAsia="仿宋" w:cs="仿宋"/>
          <w:sz w:val="28"/>
          <w:szCs w:val="28"/>
        </w:rPr>
        <w:t>登录微信公众号（湖南艺术职业学院公众订阅号）自行打印准考证。第二志愿考生缴费及准考证打印时间学校另行公布。</w:t>
      </w:r>
      <w:r>
        <w:rPr>
          <w:rFonts w:hint="eastAsia" w:ascii="等线" w:hAnsi="等线" w:eastAsia="仿宋" w:cs="仿宋"/>
          <w:sz w:val="28"/>
          <w:szCs w:val="28"/>
        </w:rPr>
        <w:t>缴费咨询电话： 0731-88838965，打印准考证咨询电话：0731-88838967。</w:t>
      </w:r>
      <w:r>
        <w:rPr>
          <w:rFonts w:hint="eastAsia" w:ascii="仿宋" w:hAnsi="仿宋" w:eastAsia="仿宋" w:cs="仿宋"/>
          <w:sz w:val="28"/>
          <w:szCs w:val="28"/>
        </w:rPr>
        <w:t>缴费及</w:t>
      </w:r>
      <w:r>
        <w:rPr>
          <w:rFonts w:hint="eastAsia" w:ascii="等线" w:hAnsi="等线" w:eastAsia="仿宋" w:cs="仿宋"/>
          <w:sz w:val="28"/>
          <w:szCs w:val="28"/>
        </w:rPr>
        <w:t>准考证打印</w:t>
      </w:r>
      <w:r>
        <w:rPr>
          <w:rFonts w:hint="eastAsia" w:ascii="仿宋" w:hAnsi="仿宋" w:eastAsia="仿宋" w:cs="仿宋"/>
          <w:sz w:val="28"/>
          <w:szCs w:val="28"/>
        </w:rPr>
        <w:t>流程详见学校官网（网址www.arthn.com）或微信公众号（湖南艺术职业学院公众订阅号）</w:t>
      </w:r>
      <w:r>
        <w:rPr>
          <w:rFonts w:hint="eastAsia" w:ascii="等线" w:hAnsi="等线" w:eastAsia="仿宋" w:cs="仿宋"/>
          <w:sz w:val="28"/>
          <w:szCs w:val="28"/>
        </w:rPr>
        <w:t>。</w:t>
      </w:r>
    </w:p>
    <w:p>
      <w:pPr>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第二十四条</w:t>
      </w:r>
      <w:r>
        <w:rPr>
          <w:rFonts w:hint="eastAsia" w:ascii="等线" w:hAnsi="等线" w:eastAsia="仿宋" w:cs="仿宋"/>
          <w:sz w:val="28"/>
          <w:szCs w:val="28"/>
        </w:rPr>
        <w:t xml:space="preserve"> 我校单招考试在省教育考试院的指导下，参照国家教育考试规定进行组织。在学校招生工作领导小组的统筹下，教务处、招生就业与创新创业指导处、各二级学院等部门共同组织考务工作。具体由教务处、公共教学部牵头组织文化素质测试命题，各二级学院组织职业技能测试命题，并负责其保密工作；招生就业与创新创业指导处负责按国考要求制定具体的组考方案，根据报考人数合理安排考场并组织有序考试；教务处、公共教学部、各二级学院组织相关专家参照湖南省普通高考评卷及登分工作有关要求，制定科学合理的评判标准，加大信息公开及结果公示力度，确保考试评判工作公正、透明。</w:t>
      </w:r>
    </w:p>
    <w:p>
      <w:pPr>
        <w:numPr>
          <w:ilvl w:val="255"/>
          <w:numId w:val="0"/>
        </w:numPr>
        <w:spacing w:line="500" w:lineRule="exact"/>
        <w:rPr>
          <w:rFonts w:ascii="等线" w:hAnsi="等线" w:eastAsia="仿宋" w:cs="仿宋"/>
          <w:sz w:val="28"/>
          <w:szCs w:val="28"/>
        </w:rPr>
      </w:pP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单招录取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第二十五条</w:t>
      </w:r>
      <w:r>
        <w:rPr>
          <w:rFonts w:hint="eastAsia" w:ascii="等线" w:hAnsi="等线" w:eastAsia="仿宋" w:cs="仿宋"/>
          <w:sz w:val="28"/>
          <w:szCs w:val="28"/>
        </w:rPr>
        <w:t xml:space="preserve"> 应届普通高中毕业考生（第一类考生）、中职考生和往届普通高中考生及同等学力考生（第二类考生）的类别确定及普通高中学业水平合格性考试成绩的认定以省教育考试院提供的数据为依据。普通高中学业水平合格性考试有效</w:t>
      </w:r>
      <w:r>
        <w:rPr>
          <w:rFonts w:ascii="等线" w:hAnsi="等线" w:eastAsia="仿宋" w:cs="仿宋"/>
          <w:sz w:val="28"/>
          <w:szCs w:val="28"/>
        </w:rPr>
        <w:t>成</w:t>
      </w:r>
      <w:r>
        <w:rPr>
          <w:rFonts w:hint="eastAsia" w:ascii="等线" w:hAnsi="等线" w:eastAsia="仿宋" w:cs="仿宋"/>
          <w:sz w:val="28"/>
          <w:szCs w:val="28"/>
        </w:rPr>
        <w:t>绩不全</w:t>
      </w:r>
      <w:r>
        <w:rPr>
          <w:rFonts w:ascii="等线" w:hAnsi="等线" w:eastAsia="仿宋" w:cs="仿宋"/>
          <w:sz w:val="28"/>
          <w:szCs w:val="28"/>
        </w:rPr>
        <w:t>的</w:t>
      </w:r>
      <w:r>
        <w:rPr>
          <w:rFonts w:hint="eastAsia" w:ascii="等线" w:hAnsi="等线" w:eastAsia="仿宋" w:cs="仿宋"/>
          <w:sz w:val="28"/>
          <w:szCs w:val="28"/>
        </w:rPr>
        <w:t>应届普通高中毕业考生</w:t>
      </w:r>
      <w:r>
        <w:rPr>
          <w:rFonts w:ascii="等线" w:hAnsi="等线" w:eastAsia="仿宋" w:cs="仿宋"/>
          <w:sz w:val="28"/>
          <w:szCs w:val="28"/>
        </w:rPr>
        <w:t>必须按照</w:t>
      </w:r>
      <w:r>
        <w:rPr>
          <w:rFonts w:hint="eastAsia" w:ascii="等线" w:hAnsi="等线" w:eastAsia="仿宋" w:cs="仿宋"/>
          <w:sz w:val="28"/>
          <w:szCs w:val="28"/>
        </w:rPr>
        <w:t>中职考生和往届普通高中考生及同等学力考生</w:t>
      </w:r>
      <w:r>
        <w:rPr>
          <w:rFonts w:ascii="等线" w:hAnsi="等线" w:eastAsia="仿宋" w:cs="仿宋"/>
          <w:sz w:val="28"/>
          <w:szCs w:val="28"/>
        </w:rPr>
        <w:t>的要求</w:t>
      </w:r>
      <w:r>
        <w:rPr>
          <w:rFonts w:hint="eastAsia" w:ascii="等线" w:hAnsi="等线" w:eastAsia="仿宋" w:cs="仿宋"/>
          <w:sz w:val="28"/>
          <w:szCs w:val="28"/>
        </w:rPr>
        <w:t>参加</w:t>
      </w:r>
      <w:r>
        <w:rPr>
          <w:rFonts w:ascii="等线" w:hAnsi="等线" w:eastAsia="仿宋" w:cs="仿宋"/>
          <w:sz w:val="28"/>
          <w:szCs w:val="28"/>
        </w:rPr>
        <w:t>文化</w:t>
      </w:r>
      <w:r>
        <w:rPr>
          <w:rFonts w:hint="eastAsia" w:ascii="等线" w:hAnsi="等线" w:eastAsia="仿宋" w:cs="仿宋"/>
          <w:sz w:val="28"/>
          <w:szCs w:val="28"/>
        </w:rPr>
        <w:t>素质测试及</w:t>
      </w:r>
      <w:r>
        <w:rPr>
          <w:rFonts w:ascii="等线" w:hAnsi="等线" w:eastAsia="仿宋" w:cs="仿宋"/>
          <w:sz w:val="28"/>
          <w:szCs w:val="28"/>
        </w:rPr>
        <w:t>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第二十六条</w:t>
      </w:r>
      <w:r>
        <w:rPr>
          <w:rFonts w:hint="eastAsia" w:ascii="等线" w:hAnsi="等线" w:eastAsia="仿宋" w:cs="仿宋"/>
          <w:sz w:val="28"/>
          <w:szCs w:val="28"/>
        </w:rPr>
        <w:t xml:space="preserve"> 单招录取首先对报考单列计划的考生（第三类考生）进行录取，单列计划只录取第一志愿报考的考生，如有剩余单列计划则转为普通类计划录取第一类、第二类考生。</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第二十七条 </w:t>
      </w:r>
      <w:r>
        <w:rPr>
          <w:rFonts w:hint="eastAsia" w:ascii="等线" w:hAnsi="等线" w:eastAsia="仿宋" w:cs="仿宋"/>
          <w:sz w:val="28"/>
          <w:szCs w:val="28"/>
        </w:rPr>
        <w:t>普通类考生分类别分专业招生计划以实际参考的考生人数为基数，按专业计划数除以该专业参考总人数再乘以各类别参考人数的计算公式，列出各专业第一类考生（具有2023年普通高中学业水平合格性考试有效成绩）、第二类考生（含普通高中学业水平合格性考试有效成绩不全的应届普通高中考生）的实际录取计划数。例如，某专业招生计划共100人，单列计划已录取5人，剩余计划95人录取第一类、第二类学生，如第一类考生、第二类考生一志愿实际参考的人数分别为</w:t>
      </w:r>
      <w:r>
        <w:rPr>
          <w:rFonts w:ascii="等线" w:hAnsi="等线" w:eastAsia="仿宋" w:cs="仿宋"/>
          <w:sz w:val="28"/>
          <w:szCs w:val="28"/>
        </w:rPr>
        <w:t>150</w:t>
      </w:r>
      <w:r>
        <w:rPr>
          <w:rFonts w:hint="eastAsia" w:ascii="等线" w:hAnsi="等线" w:eastAsia="仿宋" w:cs="仿宋"/>
          <w:sz w:val="28"/>
          <w:szCs w:val="28"/>
        </w:rPr>
        <w:t>、</w:t>
      </w:r>
      <w:r>
        <w:rPr>
          <w:rFonts w:ascii="等线" w:hAnsi="等线" w:eastAsia="仿宋" w:cs="仿宋"/>
          <w:sz w:val="28"/>
          <w:szCs w:val="28"/>
        </w:rPr>
        <w:t>50</w:t>
      </w:r>
      <w:r>
        <w:rPr>
          <w:rFonts w:hint="eastAsia" w:ascii="等线" w:hAnsi="等线" w:eastAsia="仿宋" w:cs="仿宋"/>
          <w:sz w:val="28"/>
          <w:szCs w:val="28"/>
        </w:rPr>
        <w:t>人，根据同比例公式计算可得第一类、第二类考生的计划数为71、24人。第一类考生计划数计算公式：95/（150+50）</w:t>
      </w:r>
      <w:r>
        <w:rPr>
          <w:rFonts w:hint="eastAsia" w:ascii="汉仪细圆B5" w:hAnsi="汉仪细圆B5" w:eastAsia="汉仪细圆B5" w:cs="汉仪细圆B5"/>
          <w:sz w:val="28"/>
          <w:szCs w:val="28"/>
        </w:rPr>
        <w:t>×150</w:t>
      </w:r>
      <w:r>
        <w:rPr>
          <w:rFonts w:hint="eastAsia" w:ascii="等线" w:hAnsi="等线" w:eastAsia="仿宋" w:cs="仿宋"/>
          <w:sz w:val="28"/>
          <w:szCs w:val="28"/>
        </w:rPr>
        <w:t>。各类别各专业计划确定后，录取过程中不再调整和追加。</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第二十八条</w:t>
      </w:r>
      <w:r>
        <w:rPr>
          <w:rFonts w:hint="eastAsia" w:ascii="等线" w:hAnsi="等线" w:eastAsia="仿宋" w:cs="仿宋"/>
          <w:sz w:val="28"/>
          <w:szCs w:val="28"/>
        </w:rPr>
        <w:t xml:space="preserve"> 单招录取工作按照“学校负责、招办监督”的原则进行。各类别录取时，按照各专业志愿优先的方式进行。各类别按照以下顺序进行。</w:t>
      </w:r>
    </w:p>
    <w:p>
      <w:pPr>
        <w:widowControl/>
        <w:shd w:val="clear" w:color="auto" w:fill="FFFFFF"/>
        <w:spacing w:line="500" w:lineRule="exact"/>
        <w:ind w:firstLine="560" w:firstLineChars="200"/>
        <w:jc w:val="left"/>
        <w:rPr>
          <w:rFonts w:ascii="方正小标宋简体" w:hAnsi="方正小标宋简体" w:eastAsia="方正小标宋简体" w:cs="方正小标宋简体"/>
          <w:color w:val="FF0000"/>
          <w:sz w:val="28"/>
          <w:szCs w:val="28"/>
        </w:rPr>
      </w:pPr>
      <w:r>
        <w:rPr>
          <w:rFonts w:hint="eastAsia" w:ascii="等线" w:hAnsi="等线" w:eastAsia="仿宋" w:cs="仿宋"/>
          <w:sz w:val="28"/>
          <w:szCs w:val="28"/>
        </w:rPr>
        <w:t>1.退役军人考生。按考生所填报专业职业技能测试综合成绩从高分到低分进行录取，录完为止。为避免避免个别专业扎堆报考，造成后续普通类考生计划不足，各专业录取退役军人考生的人数不超过1人。</w:t>
      </w:r>
    </w:p>
    <w:p>
      <w:pPr>
        <w:widowControl/>
        <w:shd w:val="clear" w:color="auto" w:fill="FFFFFF"/>
        <w:spacing w:line="500" w:lineRule="exact"/>
        <w:jc w:val="left"/>
        <w:rPr>
          <w:rFonts w:ascii="等线" w:hAnsi="等线" w:eastAsia="仿宋" w:cs="仿宋"/>
          <w:sz w:val="28"/>
          <w:szCs w:val="28"/>
        </w:rPr>
      </w:pPr>
      <w:r>
        <w:rPr>
          <w:rFonts w:hint="eastAsia" w:ascii="等线" w:hAnsi="等线" w:eastAsia="仿宋" w:cs="仿宋"/>
          <w:sz w:val="28"/>
          <w:szCs w:val="28"/>
        </w:rPr>
        <w:t xml:space="preserve">    2.普通类考生。根据各专业分类别招生计划数，依据考生所填报专业按综合成绩从高分到低分进行录取，录满为止。如遇生源不足，则对该专业所对应专业组内未录取且服从调剂的考生按综合成绩从高分到低分进行调剂录取。</w:t>
      </w:r>
    </w:p>
    <w:p>
      <w:pPr>
        <w:widowControl/>
        <w:shd w:val="clear" w:color="auto" w:fill="FFFFFF"/>
        <w:spacing w:line="500" w:lineRule="exact"/>
        <w:ind w:firstLine="562" w:firstLineChars="200"/>
        <w:jc w:val="left"/>
        <w:rPr>
          <w:rFonts w:ascii="仿宋" w:hAnsi="仿宋" w:eastAsia="仿宋" w:cs="仿宋"/>
          <w:sz w:val="28"/>
        </w:rPr>
      </w:pPr>
      <w:r>
        <w:rPr>
          <w:rFonts w:hint="eastAsia" w:ascii="等线" w:hAnsi="等线" w:eastAsia="仿宋" w:cs="仿宋"/>
          <w:b/>
          <w:bCs/>
          <w:sz w:val="28"/>
          <w:szCs w:val="28"/>
        </w:rPr>
        <w:t>第二十九条</w:t>
      </w:r>
      <w:r>
        <w:rPr>
          <w:rFonts w:hint="eastAsia" w:ascii="等线" w:hAnsi="等线" w:eastAsia="仿宋" w:cs="仿宋"/>
          <w:sz w:val="28"/>
          <w:szCs w:val="28"/>
        </w:rPr>
        <w:t xml:space="preserve"> 对于末位同分的考生，依据以下排序原则进行录取。第一、第二类考生同分排序规则为：</w:t>
      </w:r>
      <w:r>
        <w:rPr>
          <w:rFonts w:hint="eastAsia" w:ascii="仿宋" w:hAnsi="仿宋" w:eastAsia="仿宋" w:cs="仿宋"/>
          <w:sz w:val="28"/>
        </w:rPr>
        <w:t>按照职业技能测试从高到低排序录取；如职业技能成绩仍然相同，则依次按照考生学业水平测试或文化素质测试的语文、数学、英语单科成绩从高到低排序录取。第三类考生同分排序规则为：加试职业技能测试方式，按加试成绩从高到低排序录取。</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第三十条 </w:t>
      </w:r>
      <w:r>
        <w:rPr>
          <w:rFonts w:hint="eastAsia" w:ascii="等线" w:hAnsi="等线" w:eastAsia="仿宋" w:cs="仿宋"/>
          <w:sz w:val="28"/>
          <w:szCs w:val="28"/>
        </w:rPr>
        <w:t>为保障生源质量，我校提前确定录取合格标准，未合格的不予录取。合格标准是：职业技能测试成绩原始成绩60分以上。</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第三十一条 </w:t>
      </w:r>
      <w:r>
        <w:rPr>
          <w:rFonts w:hint="eastAsia" w:ascii="等线" w:hAnsi="等线" w:eastAsia="仿宋" w:cs="仿宋"/>
          <w:sz w:val="28"/>
          <w:szCs w:val="28"/>
        </w:rPr>
        <w:t>我校将通过官网（http://www.arthn.com）和微信公众号（湖南艺术职业学院公众订阅号）发布单招拟录取名单，拟录取考生需在我校规定时间内办理相关录取确认手续。</w:t>
      </w:r>
    </w:p>
    <w:p>
      <w:pPr>
        <w:widowControl/>
        <w:shd w:val="clear" w:color="auto" w:fill="FFFFFF"/>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第三十二条</w:t>
      </w:r>
      <w:r>
        <w:rPr>
          <w:rFonts w:hint="eastAsia" w:ascii="等线" w:hAnsi="等线" w:eastAsia="仿宋" w:cs="仿宋"/>
          <w:sz w:val="28"/>
          <w:szCs w:val="28"/>
        </w:rPr>
        <w:t xml:space="preserve"> 单招录取的学生不得参加本年度统一高考和普通高校对口招生考试。单招录取的学生不得转学，特殊情况需转专业的，按照我校教务处转专业规定执行。</w:t>
      </w:r>
    </w:p>
    <w:p>
      <w:pPr>
        <w:widowControl/>
        <w:shd w:val="clear" w:color="auto" w:fill="FFFFFF"/>
        <w:spacing w:line="500" w:lineRule="exact"/>
        <w:ind w:firstLine="562" w:firstLineChars="200"/>
        <w:jc w:val="left"/>
        <w:rPr>
          <w:rFonts w:ascii="仿宋" w:hAnsi="仿宋" w:eastAsia="仿宋" w:cs="仿宋"/>
          <w:sz w:val="28"/>
          <w:szCs w:val="28"/>
        </w:rPr>
      </w:pPr>
      <w:r>
        <w:rPr>
          <w:rFonts w:hint="eastAsia" w:ascii="等线" w:hAnsi="等线" w:eastAsia="仿宋" w:cs="仿宋"/>
          <w:b/>
          <w:bCs/>
          <w:sz w:val="28"/>
          <w:szCs w:val="28"/>
        </w:rPr>
        <w:t xml:space="preserve">第三十三条 </w:t>
      </w:r>
      <w:r>
        <w:rPr>
          <w:rFonts w:hint="eastAsia" w:ascii="等线" w:hAnsi="等线" w:eastAsia="仿宋" w:cs="仿宋"/>
          <w:sz w:val="28"/>
          <w:szCs w:val="28"/>
        </w:rPr>
        <w:t>单招第一志愿录取结束后，如有剩余专业计划，我校将向社会公布有缺额的专业及计划数，并组织第二志愿报考我校且未被第一志愿录取考生举行考试。第二志愿考试要求及录取规则等与第一志愿的相关规定一致。</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监督管理</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第三十四条 </w:t>
      </w:r>
      <w:r>
        <w:rPr>
          <w:rFonts w:hint="eastAsia" w:ascii="等线" w:hAnsi="等线" w:eastAsia="仿宋" w:cs="仿宋"/>
          <w:sz w:val="28"/>
          <w:szCs w:val="28"/>
        </w:rPr>
        <w:t>单招考试及录取结束后，学校按照要求及时将考试结果及拟录取考生情况在学校官网公示。</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第三十五条 </w:t>
      </w:r>
      <w:r>
        <w:rPr>
          <w:rFonts w:hint="eastAsia" w:ascii="等线" w:hAnsi="等线" w:eastAsia="仿宋" w:cs="仿宋"/>
          <w:sz w:val="28"/>
          <w:szCs w:val="28"/>
        </w:rPr>
        <w:t>单招期间，确保规范有序、公平公正，在学校纪检监察处全程监督检查下进行单招考试、录取等工作。</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第三十六条 </w:t>
      </w:r>
      <w:r>
        <w:rPr>
          <w:rFonts w:hint="eastAsia" w:ascii="等线" w:hAnsi="等线" w:eastAsia="仿宋" w:cs="仿宋"/>
          <w:sz w:val="28"/>
          <w:szCs w:val="28"/>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可向公安机关反映。</w:t>
      </w:r>
    </w:p>
    <w:p>
      <w:pPr>
        <w:spacing w:line="500" w:lineRule="exact"/>
        <w:ind w:firstLine="562" w:firstLineChars="200"/>
        <w:jc w:val="left"/>
        <w:rPr>
          <w:rFonts w:ascii="等线" w:hAnsi="等线" w:eastAsia="仿宋" w:cs="仿宋"/>
          <w:sz w:val="28"/>
          <w:szCs w:val="28"/>
        </w:rPr>
      </w:pPr>
      <w:r>
        <w:rPr>
          <w:rFonts w:hint="eastAsia" w:ascii="等线" w:hAnsi="等线" w:eastAsia="仿宋" w:cs="仿宋"/>
          <w:b/>
          <w:bCs/>
          <w:sz w:val="28"/>
          <w:szCs w:val="28"/>
        </w:rPr>
        <w:t xml:space="preserve">第三十七条 </w:t>
      </w:r>
      <w:r>
        <w:rPr>
          <w:rFonts w:hint="eastAsia" w:ascii="等线" w:hAnsi="等线" w:eastAsia="仿宋" w:cs="仿宋"/>
          <w:sz w:val="28"/>
          <w:szCs w:val="28"/>
        </w:rPr>
        <w:t>我校将严格执行招生政策和招生纪律，对于在单招中违规的考生及工作人员，按《国家教育考试违规处理办法》（教育部令33号）和《普通高等学校招生违规行为处理暂行办法》（教育部令36号）所确定的程序和规定进行处理。欢迎考生、家长及社会对我校单招工作进行监督，投诉举报电话：0731-88851186。</w:t>
      </w:r>
    </w:p>
    <w:p>
      <w:pPr>
        <w:numPr>
          <w:ilvl w:val="0"/>
          <w:numId w:val="2"/>
        </w:numPr>
        <w:spacing w:before="156" w:beforeLines="50" w:after="156" w:afterLines="50" w:line="680" w:lineRule="exact"/>
        <w:jc w:val="center"/>
        <w:rPr>
          <w:rFonts w:ascii="仿宋" w:hAnsi="仿宋" w:eastAsia="仿宋" w:cs="仿宋"/>
          <w:b/>
          <w:bCs/>
          <w:sz w:val="32"/>
          <w:szCs w:val="32"/>
        </w:rPr>
      </w:pPr>
      <w:r>
        <w:rPr>
          <w:rFonts w:hint="eastAsia" w:ascii="仿宋" w:hAnsi="仿宋" w:eastAsia="仿宋" w:cs="仿宋"/>
          <w:b/>
          <w:bCs/>
          <w:sz w:val="32"/>
          <w:szCs w:val="32"/>
        </w:rPr>
        <w:t>附则</w:t>
      </w:r>
    </w:p>
    <w:p>
      <w:pPr>
        <w:pStyle w:val="2"/>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第三十八条</w:t>
      </w:r>
      <w:r>
        <w:rPr>
          <w:rFonts w:hint="eastAsia" w:ascii="等线" w:hAnsi="等线" w:eastAsia="仿宋" w:cs="仿宋"/>
          <w:sz w:val="28"/>
          <w:szCs w:val="28"/>
        </w:rPr>
        <w:t xml:space="preserve"> 学校对新生入学设有“绿色通道”。家庭经济特别困难的新生，可持乡（镇）以上人民政府证明向学校学生工作处申请办理学费缓交手续，并可根据国家有关规定申请国家助学贷款。</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第三十九条 </w:t>
      </w:r>
      <w:r>
        <w:rPr>
          <w:rFonts w:hint="eastAsia" w:ascii="等线" w:hAnsi="等线" w:eastAsia="仿宋" w:cs="仿宋"/>
          <w:sz w:val="28"/>
          <w:szCs w:val="28"/>
        </w:rPr>
        <w:t>录取考生的体检标准按照教育部、卫生部、中国残疾人联合会颁布的《普通高等学校招生体检工作指导意见》及有关补充规定执行。</w:t>
      </w:r>
    </w:p>
    <w:p>
      <w:pPr>
        <w:shd w:val="clear" w:color="auto" w:fill="FFFFFF"/>
        <w:spacing w:line="500" w:lineRule="exact"/>
        <w:ind w:firstLine="562" w:firstLineChars="200"/>
        <w:rPr>
          <w:rFonts w:ascii="等线" w:hAnsi="等线" w:eastAsia="仿宋" w:cs="仿宋"/>
          <w:b/>
          <w:bCs/>
          <w:sz w:val="32"/>
          <w:szCs w:val="32"/>
        </w:rPr>
      </w:pPr>
      <w:r>
        <w:rPr>
          <w:rFonts w:hint="eastAsia" w:ascii="等线" w:hAnsi="等线" w:eastAsia="仿宋" w:cs="仿宋"/>
          <w:b/>
          <w:bCs/>
          <w:sz w:val="28"/>
          <w:szCs w:val="28"/>
        </w:rPr>
        <w:t xml:space="preserve">第四十条 </w:t>
      </w:r>
      <w:r>
        <w:rPr>
          <w:rFonts w:hint="eastAsia" w:ascii="等线" w:hAnsi="等线" w:eastAsia="仿宋" w:cs="仿宋"/>
          <w:sz w:val="28"/>
          <w:szCs w:val="28"/>
        </w:rPr>
        <w:t>录取考生的思想政治品德考核和身体健康状况检查均采用考生报考普通高校招生考试或对口招生考试时所采集的信息，学生对提供的信息真实性负责。</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第四十一条</w:t>
      </w:r>
      <w:r>
        <w:rPr>
          <w:rFonts w:hint="eastAsia" w:ascii="等线" w:hAnsi="等线" w:eastAsia="仿宋" w:cs="仿宋"/>
          <w:sz w:val="28"/>
          <w:szCs w:val="28"/>
        </w:rPr>
        <w:t xml:space="preserve"> 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第四十二条</w:t>
      </w:r>
      <w:r>
        <w:rPr>
          <w:rFonts w:hint="eastAsia" w:ascii="等线" w:hAnsi="等线" w:eastAsia="仿宋" w:cs="仿宋"/>
          <w:sz w:val="28"/>
          <w:szCs w:val="28"/>
        </w:rPr>
        <w:t xml:space="preserve"> 本章程通过湖南省教育考试院和学院官网向社会发布，对于各种媒体节选公布的章程内容，如理解有误，以学校公布的完整单独招生章程为准。</w:t>
      </w:r>
    </w:p>
    <w:p>
      <w:pPr>
        <w:pStyle w:val="2"/>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第四十三条 </w:t>
      </w:r>
      <w:r>
        <w:rPr>
          <w:rFonts w:hint="eastAsia" w:ascii="等线" w:hAnsi="等线" w:eastAsia="仿宋" w:cs="仿宋"/>
          <w:sz w:val="28"/>
          <w:szCs w:val="28"/>
        </w:rPr>
        <w:t>学校招生联系方式</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通信地址：长沙县星沙街道特立东路719号湖南艺术职业学院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邮政编码：410100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招生咨询电话：0731-88838967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招生咨询邮箱： hy88838967@163.com                         </w:t>
      </w:r>
    </w:p>
    <w:p>
      <w:pPr>
        <w:pStyle w:val="2"/>
        <w:ind w:firstLine="560" w:firstLineChars="200"/>
        <w:rPr>
          <w:rFonts w:ascii="等线" w:hAnsi="等线" w:eastAsia="仿宋" w:cs="仿宋"/>
          <w:sz w:val="28"/>
          <w:szCs w:val="28"/>
        </w:rPr>
      </w:pPr>
      <w:r>
        <w:rPr>
          <w:rFonts w:hint="eastAsia" w:ascii="等线" w:hAnsi="等线" w:eastAsia="仿宋" w:cs="仿宋"/>
          <w:sz w:val="28"/>
          <w:szCs w:val="28"/>
        </w:rPr>
        <w:t xml:space="preserve">招生信息发布网址：www.arthn.com       </w:t>
      </w:r>
    </w:p>
    <w:p>
      <w:pPr>
        <w:pStyle w:val="10"/>
        <w:shd w:val="clear" w:color="auto" w:fill="FFFFFF"/>
        <w:spacing w:before="0" w:beforeAutospacing="0" w:after="0" w:afterAutospacing="0" w:line="500" w:lineRule="exact"/>
        <w:ind w:firstLine="560" w:firstLineChars="200"/>
        <w:rPr>
          <w:rFonts w:ascii="等线" w:hAnsi="等线" w:eastAsia="仿宋" w:cs="仿宋"/>
          <w:kern w:val="2"/>
          <w:sz w:val="28"/>
          <w:szCs w:val="28"/>
        </w:rPr>
      </w:pPr>
      <w:r>
        <w:rPr>
          <w:rFonts w:hint="eastAsia" w:ascii="等线" w:hAnsi="等线" w:eastAsia="仿宋" w:cs="仿宋"/>
          <w:kern w:val="2"/>
          <w:sz w:val="28"/>
          <w:szCs w:val="28"/>
        </w:rPr>
        <w:t xml:space="preserve">监督投诉电话：0731-88851186            </w:t>
      </w:r>
    </w:p>
    <w:p>
      <w:pPr>
        <w:shd w:val="clear" w:color="auto" w:fill="FFFFFF"/>
        <w:spacing w:line="500" w:lineRule="exact"/>
        <w:ind w:firstLine="562" w:firstLineChars="200"/>
        <w:rPr>
          <w:rFonts w:ascii="等线" w:hAnsi="等线" w:eastAsia="仿宋" w:cs="仿宋"/>
          <w:sz w:val="28"/>
          <w:szCs w:val="28"/>
        </w:rPr>
      </w:pPr>
      <w:r>
        <w:rPr>
          <w:rFonts w:hint="eastAsia" w:ascii="等线" w:hAnsi="等线" w:eastAsia="仿宋" w:cs="仿宋"/>
          <w:b/>
          <w:bCs/>
          <w:sz w:val="28"/>
          <w:szCs w:val="28"/>
        </w:rPr>
        <w:t xml:space="preserve">第四十五条 </w:t>
      </w:r>
      <w:r>
        <w:rPr>
          <w:rFonts w:hint="eastAsia" w:ascii="等线" w:hAnsi="等线" w:eastAsia="仿宋" w:cs="仿宋"/>
          <w:sz w:val="28"/>
          <w:szCs w:val="28"/>
        </w:rPr>
        <w:t>本章程适用于我校2024年湖南省单招。其解释权属于湖南艺术职业学院。</w:t>
      </w:r>
      <w:r>
        <w:rPr>
          <w:rFonts w:hint="eastAsia" w:ascii="等线" w:hAnsi="等线" w:eastAsia="仿宋" w:cs="仿宋"/>
          <w:sz w:val="28"/>
          <w:szCs w:val="28"/>
          <w:shd w:val="clear" w:color="auto" w:fill="FFFFFF"/>
        </w:rPr>
        <w:t>如遇教育部、湖南省教育厅相关招生政策调整，以公布的最新政策为准。</w:t>
      </w:r>
    </w:p>
    <w:p/>
    <w:p>
      <w:bookmarkStart w:id="0" w:name="_GoBack"/>
      <w:bookmarkEnd w:id="0"/>
    </w:p>
    <w:sectPr>
      <w:headerReference r:id="rId3" w:type="default"/>
      <w:footerReference r:id="rId4"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t>14</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C13600"/>
    <w:multiLevelType w:val="singleLevel"/>
    <w:tmpl w:val="DEC13600"/>
    <w:lvl w:ilvl="0" w:tentative="0">
      <w:start w:val="1"/>
      <w:numFmt w:val="chineseCounting"/>
      <w:suff w:val="space"/>
      <w:lvlText w:val="第%1章"/>
      <w:lvlJc w:val="left"/>
      <w:rPr>
        <w:rFonts w:hint="eastAsia"/>
      </w:rPr>
    </w:lvl>
  </w:abstractNum>
  <w:abstractNum w:abstractNumId="1">
    <w:nsid w:val="E382D66B"/>
    <w:multiLevelType w:val="singleLevel"/>
    <w:tmpl w:val="E382D66B"/>
    <w:lvl w:ilvl="0" w:tentative="0">
      <w:start w:val="1"/>
      <w:numFmt w:val="chineseCounting"/>
      <w:suff w:val="space"/>
      <w:lvlText w:val="第%1条"/>
      <w:lvlJc w:val="left"/>
      <w:rPr>
        <w:rFonts w:hint="eastAsia"/>
        <w:b/>
        <w:lang w:val="en-US"/>
      </w:rPr>
    </w:lvl>
  </w:abstractNum>
  <w:abstractNum w:abstractNumId="2">
    <w:nsid w:val="14F495C5"/>
    <w:multiLevelType w:val="singleLevel"/>
    <w:tmpl w:val="14F495C5"/>
    <w:lvl w:ilvl="0" w:tentative="0">
      <w:start w:val="12"/>
      <w:numFmt w:val="chineseCounting"/>
      <w:suff w:val="space"/>
      <w:lvlText w:val="第%1条"/>
      <w:lvlJc w:val="left"/>
      <w:rPr>
        <w:rFonts w:hint="eastAsia"/>
        <w:b/>
        <w:bCs/>
      </w:rPr>
    </w:lvl>
  </w:abstractNum>
  <w:abstractNum w:abstractNumId="3">
    <w:nsid w:val="1FC91163"/>
    <w:multiLevelType w:val="multilevel"/>
    <w:tmpl w:val="1FC91163"/>
    <w:lvl w:ilvl="0" w:tentative="0">
      <w:start w:val="1"/>
      <w:numFmt w:val="decimal"/>
      <w:pStyle w:val="5"/>
      <w:suff w:val="nothing"/>
      <w:lvlText w:val="%1　"/>
      <w:lvlJc w:val="left"/>
      <w:pPr>
        <w:ind w:left="284"/>
      </w:pPr>
      <w:rPr>
        <w:rFonts w:hint="eastAsia" w:ascii="黑体" w:hAnsi="Times New Roman" w:eastAsia="黑体" w:cs="Times New Roman"/>
        <w:b w:val="0"/>
        <w:bCs w:val="0"/>
        <w:i w:val="0"/>
        <w:iCs w:val="0"/>
        <w:sz w:val="21"/>
        <w:szCs w:val="21"/>
      </w:rPr>
    </w:lvl>
    <w:lvl w:ilvl="1" w:tentative="0">
      <w:start w:val="1"/>
      <w:numFmt w:val="decimal"/>
      <w:pStyle w:val="4"/>
      <w:suff w:val="nothing"/>
      <w:lvlText w:val="%1.%2　"/>
      <w:lvlJc w:val="left"/>
      <w:pPr>
        <w:ind w:left="71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1702"/>
      </w:pPr>
      <w:rPr>
        <w:rFonts w:hint="eastAsia" w:ascii="黑体" w:hAnsi="Times New Roman" w:eastAsia="黑体" w:cs="Times New Roman"/>
        <w:b w:val="0"/>
        <w:bCs w:val="0"/>
        <w:i w:val="0"/>
        <w:iCs w:val="0"/>
        <w:sz w:val="21"/>
        <w:szCs w:val="21"/>
      </w:rPr>
    </w:lvl>
    <w:lvl w:ilvl="3" w:tentative="0">
      <w:start w:val="1"/>
      <w:numFmt w:val="decimal"/>
      <w:suff w:val="nothing"/>
      <w:lvlText w:val="%1.%2.%3.%4　"/>
      <w:lvlJc w:val="left"/>
      <w:pPr>
        <w:ind w:left="993"/>
      </w:pPr>
      <w:rPr>
        <w:rFonts w:hint="eastAsia" w:ascii="黑体" w:hAnsi="Times New Roman" w:eastAsia="黑体" w:cs="Times New Roman"/>
        <w:b w:val="0"/>
        <w:bCs w:val="0"/>
        <w:i w:val="0"/>
        <w:iCs w:val="0"/>
        <w:sz w:val="21"/>
        <w:szCs w:val="21"/>
      </w:rPr>
    </w:lvl>
    <w:lvl w:ilvl="4" w:tentative="0">
      <w:start w:val="1"/>
      <w:numFmt w:val="decimal"/>
      <w:suff w:val="nothing"/>
      <w:lvlText w:val="%1.%2.%3.%4.%5　"/>
      <w:lvlJc w:val="left"/>
      <w:pPr>
        <w:ind w:left="710"/>
      </w:pPr>
      <w:rPr>
        <w:rFonts w:hint="eastAsia" w:ascii="黑体" w:hAnsi="Times New Roman" w:eastAsia="黑体" w:cs="Times New Roman"/>
        <w:b w:val="0"/>
        <w:bCs w:val="0"/>
        <w:i w:val="0"/>
        <w:iCs w:val="0"/>
        <w:sz w:val="21"/>
        <w:szCs w:val="21"/>
      </w:rPr>
    </w:lvl>
    <w:lvl w:ilvl="5" w:tentative="0">
      <w:start w:val="1"/>
      <w:numFmt w:val="decimal"/>
      <w:suff w:val="nothing"/>
      <w:lvlText w:val="%1.%2.%3.%4.%5.%6　"/>
      <w:lvlJc w:val="left"/>
      <w:rPr>
        <w:rFonts w:hint="eastAsia" w:ascii="黑体" w:hAnsi="Times New Roman" w:eastAsia="黑体" w:cs="Times New Roman"/>
        <w:b w:val="0"/>
        <w:bCs w:val="0"/>
        <w:i w:val="0"/>
        <w:iCs w:val="0"/>
        <w:sz w:val="21"/>
        <w:szCs w:val="21"/>
      </w:rPr>
    </w:lvl>
    <w:lvl w:ilvl="6" w:tentative="0">
      <w:start w:val="1"/>
      <w:numFmt w:val="decimal"/>
      <w:suff w:val="nothing"/>
      <w:lvlText w:val="%1%2.%3.%4.%5.%6.%7　"/>
      <w:lvlJc w:val="left"/>
      <w:rPr>
        <w:rFonts w:hint="eastAsia" w:ascii="黑体" w:hAnsi="Times New Roman" w:eastAsia="黑体" w:cs="Times New Roman"/>
        <w:b w:val="0"/>
        <w:bCs w:val="0"/>
        <w:i w:val="0"/>
        <w:iCs w:val="0"/>
        <w:sz w:val="21"/>
        <w:szCs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0NjI1YjJkY2E1YWViZjMxMzM4NjJhM2M4ZjVhOGYifQ=="/>
  </w:docVars>
  <w:rsids>
    <w:rsidRoot w:val="00000000"/>
    <w:rsid w:val="0BF2295E"/>
    <w:rsid w:val="12EE6F9A"/>
    <w:rsid w:val="20810EBF"/>
    <w:rsid w:val="22721ADD"/>
    <w:rsid w:val="23901622"/>
    <w:rsid w:val="2486678D"/>
    <w:rsid w:val="25000118"/>
    <w:rsid w:val="285F2A85"/>
    <w:rsid w:val="370269CE"/>
    <w:rsid w:val="47DE682B"/>
    <w:rsid w:val="61D03584"/>
    <w:rsid w:val="6B3F632F"/>
    <w:rsid w:val="706E32EC"/>
    <w:rsid w:val="78EF0377"/>
    <w:rsid w:val="7E1A5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Body Text"/>
    <w:basedOn w:val="1"/>
    <w:next w:val="4"/>
    <w:autoRedefine/>
    <w:qFormat/>
    <w:uiPriority w:val="1"/>
    <w:pPr>
      <w:spacing w:before="5"/>
      <w:ind w:left="138"/>
    </w:pPr>
    <w:rPr>
      <w:rFonts w:ascii="宋体" w:hAnsi="宋体" w:cs="宋体"/>
      <w:sz w:val="32"/>
      <w:szCs w:val="32"/>
      <w:lang w:val="zh-CN" w:bidi="zh-CN"/>
    </w:rPr>
  </w:style>
  <w:style w:type="paragraph" w:customStyle="1" w:styleId="4">
    <w:name w:val="一级条标题"/>
    <w:basedOn w:val="5"/>
    <w:next w:val="6"/>
    <w:autoRedefine/>
    <w:qFormat/>
    <w:uiPriority w:val="0"/>
    <w:pPr>
      <w:numPr>
        <w:ilvl w:val="1"/>
      </w:numPr>
      <w:spacing w:beforeLines="50" w:afterLines="50"/>
      <w:outlineLvl w:val="2"/>
    </w:pPr>
  </w:style>
  <w:style w:type="paragraph" w:customStyle="1" w:styleId="5">
    <w:name w:val="章标题"/>
    <w:next w:val="1"/>
    <w:autoRedefine/>
    <w:qFormat/>
    <w:uiPriority w:val="0"/>
    <w:pPr>
      <w:numPr>
        <w:ilvl w:val="0"/>
        <w:numId w:val="1"/>
      </w:numPr>
      <w:spacing w:beforeLines="100" w:afterLines="100"/>
      <w:jc w:val="both"/>
      <w:outlineLvl w:val="1"/>
    </w:pPr>
    <w:rPr>
      <w:rFonts w:ascii="黑体" w:hAnsi="Times New Roman" w:eastAsia="黑体" w:cs="黑体"/>
      <w:sz w:val="21"/>
      <w:szCs w:val="21"/>
      <w:lang w:val="en-US" w:eastAsia="zh-CN" w:bidi="ar-SA"/>
    </w:rPr>
  </w:style>
  <w:style w:type="paragraph" w:customStyle="1" w:styleId="6">
    <w:name w:val="段"/>
    <w:next w:val="1"/>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7">
    <w:name w:val="Body Text Indent"/>
    <w:basedOn w:val="1"/>
    <w:next w:val="2"/>
    <w:autoRedefine/>
    <w:qFormat/>
    <w:uiPriority w:val="0"/>
    <w:pPr>
      <w:tabs>
        <w:tab w:val="left" w:pos="360"/>
      </w:tabs>
      <w:ind w:left="180" w:firstLine="600"/>
    </w:pPr>
    <w:rPr>
      <w:rFonts w:ascii="宋体" w:hAnsi="宋体"/>
      <w:sz w:val="30"/>
      <w:szCs w:val="30"/>
      <w:lang w:val="zh-CN"/>
    </w:rPr>
  </w:style>
  <w:style w:type="paragraph" w:styleId="8">
    <w:name w:val="footer"/>
    <w:basedOn w:val="1"/>
    <w:autoRedefine/>
    <w:qFormat/>
    <w:uiPriority w:val="99"/>
    <w:pPr>
      <w:tabs>
        <w:tab w:val="center" w:pos="4153"/>
        <w:tab w:val="right" w:pos="8306"/>
      </w:tabs>
      <w:snapToGrid w:val="0"/>
      <w:jc w:val="left"/>
    </w:pPr>
    <w:rPr>
      <w:sz w:val="18"/>
      <w:szCs w:val="18"/>
      <w:lang w:val="zh-CN"/>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7"/>
    <w:next w:val="1"/>
    <w:autoRedefine/>
    <w:qFormat/>
    <w:uiPriority w:val="0"/>
    <w:pPr>
      <w:ind w:firstLine="420" w:firstLineChars="200"/>
    </w:pPr>
  </w:style>
  <w:style w:type="character" w:styleId="14">
    <w:name w:val="Hyperlink"/>
    <w:basedOn w:val="13"/>
    <w:autoRedefine/>
    <w:qFormat/>
    <w:uiPriority w:val="0"/>
    <w:rPr>
      <w:color w:val="0000FF"/>
      <w:u w:val="single"/>
    </w:rPr>
  </w:style>
  <w:style w:type="character" w:customStyle="1" w:styleId="15">
    <w:name w:val="NormalCharacter"/>
    <w:autoRedefine/>
    <w:qFormat/>
    <w:uiPriority w:val="0"/>
    <w:rPr>
      <w:kern w:val="2"/>
      <w:sz w:val="21"/>
      <w:szCs w:val="24"/>
      <w:lang w:val="en-US" w:eastAsia="zh-CN" w:bidi="ar-SA"/>
    </w:rPr>
  </w:style>
  <w:style w:type="paragraph" w:customStyle="1" w:styleId="16">
    <w:name w:val="msonospacing"/>
    <w:autoRedefine/>
    <w:qFormat/>
    <w:uiPriority w:val="0"/>
    <w:pPr>
      <w:adjustRightInd w:val="0"/>
      <w:snapToGrid w:val="0"/>
    </w:pPr>
    <w:rPr>
      <w:rFonts w:ascii="Tahoma" w:hAnsi="Tahoma" w:eastAsia="宋体" w:cs="Times New Roman"/>
      <w:sz w:val="22"/>
      <w:szCs w:val="22"/>
      <w:lang w:val="en-US" w:eastAsia="zh-CN" w:bidi="ar-SA"/>
    </w:rPr>
  </w:style>
  <w:style w:type="character" w:customStyle="1" w:styleId="17">
    <w:name w:val="font11"/>
    <w:basedOn w:val="13"/>
    <w:autoRedefine/>
    <w:qFormat/>
    <w:uiPriority w:val="0"/>
    <w:rPr>
      <w:rFonts w:hint="eastAsia" w:ascii="宋体" w:hAnsi="宋体" w:eastAsia="宋体" w:cs="宋体"/>
      <w:b/>
      <w:bCs/>
      <w:color w:val="000000"/>
      <w:sz w:val="21"/>
      <w:szCs w:val="21"/>
      <w:u w:val="none"/>
    </w:rPr>
  </w:style>
  <w:style w:type="character" w:customStyle="1" w:styleId="18">
    <w:name w:val="font31"/>
    <w:basedOn w:val="13"/>
    <w:autoRedefine/>
    <w:qFormat/>
    <w:uiPriority w:val="0"/>
    <w:rPr>
      <w:rFonts w:hint="eastAsia" w:ascii="仿宋_GB2312" w:eastAsia="仿宋_GB2312" w:cs="仿宋_GB2312"/>
      <w:color w:val="000000"/>
      <w:sz w:val="21"/>
      <w:szCs w:val="21"/>
      <w:u w:val="none"/>
    </w:rPr>
  </w:style>
  <w:style w:type="character" w:customStyle="1" w:styleId="19">
    <w:name w:val="font21"/>
    <w:basedOn w:val="13"/>
    <w:autoRedefine/>
    <w:qFormat/>
    <w:uiPriority w:val="0"/>
    <w:rPr>
      <w:rFonts w:hint="eastAsia" w:ascii="仿宋_GB2312" w:eastAsia="仿宋_GB2312" w:cs="仿宋_GB2312"/>
      <w:b/>
      <w:bCs/>
      <w:color w:val="000000"/>
      <w:sz w:val="21"/>
      <w:szCs w:val="21"/>
      <w:u w:val="none"/>
    </w:rPr>
  </w:style>
  <w:style w:type="character" w:customStyle="1" w:styleId="20">
    <w:name w:val="font61"/>
    <w:basedOn w:val="13"/>
    <w:autoRedefine/>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2024-01-30T02:55:00Z</dcterms:created>
  <dc:creator>Administrator</dc:creator>
  <cp:lastModifiedBy>Administrator</cp:lastModifiedBy>
  <dcterms:modified xsi:type="dcterms:W3CDTF">2024-01-30T08:16:54Z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A1E89D46B53342A891D9FE988EB75701_12</vt:lpwstr>
  </property>
</Properties>
</file>