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等线" w:hAnsi="等线" w:eastAsia="华文中宋" w:cs="华文中宋"/>
          <w:b/>
          <w:bCs/>
          <w:color w:val="auto"/>
          <w:sz w:val="36"/>
          <w:szCs w:val="36"/>
          <w:u w:val="none"/>
          <w:lang w:val="en-US" w:eastAsia="zh-CN"/>
        </w:rPr>
      </w:pPr>
      <w:bookmarkStart w:id="0" w:name="zhengwen"/>
      <w:r>
        <w:rPr>
          <w:rFonts w:hint="eastAsia" w:ascii="等线" w:hAnsi="等线" w:eastAsia="华文中宋" w:cs="华文中宋"/>
          <w:b/>
          <w:bCs/>
          <w:color w:val="auto"/>
          <w:sz w:val="36"/>
          <w:szCs w:val="36"/>
          <w:u w:val="none"/>
          <w:lang w:val="en-US" w:eastAsia="zh-CN"/>
        </w:rPr>
        <w:t>湖</w:t>
      </w:r>
      <w:bookmarkStart w:id="1" w:name="_GoBack"/>
      <w:bookmarkEnd w:id="1"/>
      <w:r>
        <w:rPr>
          <w:rFonts w:hint="eastAsia" w:ascii="等线" w:hAnsi="等线" w:eastAsia="华文中宋" w:cs="华文中宋"/>
          <w:b/>
          <w:bCs/>
          <w:color w:val="auto"/>
          <w:sz w:val="36"/>
          <w:szCs w:val="36"/>
          <w:u w:val="none"/>
          <w:lang w:val="en-US" w:eastAsia="zh-CN"/>
        </w:rPr>
        <w:t>南安全技术职业学院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等线" w:hAnsi="等线" w:eastAsia="华文中宋" w:cs="华文中宋"/>
          <w:b/>
          <w:bCs/>
          <w:color w:val="auto"/>
          <w:sz w:val="36"/>
          <w:szCs w:val="36"/>
        </w:rPr>
      </w:pP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2"/>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w:t>
      </w:r>
      <w:r>
        <w:rPr>
          <w:rFonts w:hint="eastAsia" w:ascii="等线" w:hAnsi="等线" w:eastAsia="仿宋" w:cs="仿宋"/>
          <w:color w:val="auto"/>
          <w:sz w:val="28"/>
          <w:szCs w:val="28"/>
          <w:lang w:val="en-US" w:eastAsia="zh-CN"/>
        </w:rPr>
        <w:t>学校</w:t>
      </w:r>
      <w:r>
        <w:rPr>
          <w:rFonts w:hint="eastAsia" w:ascii="等线" w:hAnsi="等线" w:eastAsia="仿宋" w:cs="仿宋"/>
          <w:color w:val="auto"/>
          <w:sz w:val="28"/>
          <w:szCs w:val="28"/>
        </w:rPr>
        <w:t>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3"/>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湖南安全技术职业学院</w:t>
      </w:r>
    </w:p>
    <w:p>
      <w:pPr>
        <w:numPr>
          <w:ilvl w:val="0"/>
          <w:numId w:val="0"/>
        </w:num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湖南省长沙县万家丽北路66号</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lang w:val="en-US" w:eastAsia="zh-CN"/>
        </w:rPr>
        <w:t>主管部门：</w:t>
      </w:r>
      <w:r>
        <w:rPr>
          <w:rFonts w:hint="eastAsia" w:ascii="等线" w:hAnsi="等线" w:eastAsia="仿宋" w:cs="仿宋"/>
          <w:color w:val="auto"/>
          <w:sz w:val="28"/>
          <w:szCs w:val="28"/>
          <w:u w:val="none"/>
          <w:lang w:val="en-US" w:eastAsia="zh-CN"/>
        </w:rPr>
        <w:t>湖南省教育厅</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湖南省院校代号：4346</w:t>
      </w:r>
    </w:p>
    <w:p>
      <w:pPr>
        <w:numPr>
          <w:ilvl w:val="0"/>
          <w:numId w:val="0"/>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办学类型：公办 </w:t>
      </w:r>
    </w:p>
    <w:p>
      <w:pPr>
        <w:numPr>
          <w:ilvl w:val="0"/>
          <w:numId w:val="3"/>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湖南安全技术职业学院</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证书种类</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学校单招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lang w:val="en-US" w:eastAsia="zh-CN"/>
        </w:rPr>
        <w:t>学校</w:t>
      </w:r>
      <w:r>
        <w:rPr>
          <w:rFonts w:hint="eastAsia" w:ascii="等线" w:hAnsi="等线" w:eastAsia="仿宋" w:cs="仿宋"/>
          <w:color w:val="auto"/>
          <w:sz w:val="28"/>
          <w:szCs w:val="28"/>
          <w:lang w:eastAsia="zh-CN"/>
        </w:rPr>
        <w:t>简介：</w:t>
      </w:r>
      <w:r>
        <w:rPr>
          <w:rFonts w:hint="eastAsia" w:ascii="等线" w:hAnsi="等线" w:eastAsia="仿宋" w:cs="仿宋"/>
          <w:color w:val="auto"/>
          <w:sz w:val="28"/>
          <w:szCs w:val="28"/>
          <w:u w:val="none"/>
          <w:lang w:val="en-US" w:eastAsia="zh-CN"/>
        </w:rPr>
        <w:t>湖南安全技术职业学院是全国第一所以“安全”命名的全日制公办高等职业院校，是全国安全生产技术人才培养基地、全国烟花爆竹人才培养基地、全国煤矿安全培训示范基地、国家安全生产监管监察执法综合实训中南基地、国家烟花爆竹生产“机械化换人、自动化减人”综合实验中心、国家安全生产技术支撑体系湖南专业中心、湖南省烟花爆竹重大技术成果转化基地、全国职业院校传统技艺传承示范基地，学校连续多年获评湖南省文明高校、省直机关文明标兵校园、湖南省普通高校就业创业工作“一把手工程”优秀单位。</w:t>
      </w:r>
    </w:p>
    <w:p>
      <w:pPr>
        <w:numPr>
          <w:ilvl w:val="0"/>
          <w:numId w:val="0"/>
        </w:numPr>
        <w:spacing w:line="500" w:lineRule="exact"/>
        <w:rPr>
          <w:rFonts w:hint="default" w:ascii="等线" w:hAnsi="等线" w:eastAsia="仿宋" w:cs="仿宋"/>
          <w:color w:val="auto"/>
          <w:sz w:val="28"/>
          <w:szCs w:val="28"/>
          <w:u w:val="single"/>
          <w:lang w:val="en-US" w:eastAsia="zh-CN"/>
        </w:rPr>
      </w:pP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3"/>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u w:val="none"/>
          <w:lang w:val="en-US" w:eastAsia="zh-CN"/>
        </w:rPr>
        <w:t>招生就业与创新创业工作领导小组负责研究决定本校单招规模确定、政策制订等重大事项</w:t>
      </w:r>
      <w:r>
        <w:rPr>
          <w:rFonts w:hint="eastAsia" w:ascii="等线" w:hAnsi="等线" w:eastAsia="仿宋" w:cs="仿宋"/>
          <w:color w:val="auto"/>
          <w:sz w:val="28"/>
          <w:szCs w:val="28"/>
          <w:u w:val="none"/>
          <w:lang w:eastAsia="zh-CN"/>
        </w:rPr>
        <w:t>，招生就业</w:t>
      </w:r>
      <w:r>
        <w:rPr>
          <w:rFonts w:hint="eastAsia" w:ascii="等线" w:hAnsi="等线" w:eastAsia="仿宋" w:cs="仿宋"/>
          <w:color w:val="auto"/>
          <w:sz w:val="28"/>
          <w:szCs w:val="28"/>
          <w:u w:val="none"/>
          <w:lang w:val="en-US" w:eastAsia="zh-CN"/>
        </w:rPr>
        <w:t>与创新创业工作</w:t>
      </w:r>
      <w:r>
        <w:rPr>
          <w:rFonts w:hint="eastAsia" w:ascii="等线" w:hAnsi="等线" w:eastAsia="仿宋" w:cs="仿宋"/>
          <w:color w:val="auto"/>
          <w:sz w:val="28"/>
          <w:szCs w:val="28"/>
          <w:u w:val="none"/>
          <w:lang w:eastAsia="zh-CN"/>
        </w:rPr>
        <w:t>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u w:val="none"/>
          <w:lang w:eastAsia="zh-CN"/>
        </w:rPr>
        <w:t>组织</w:t>
      </w:r>
      <w:r>
        <w:rPr>
          <w:rFonts w:hint="eastAsia" w:ascii="等线" w:hAnsi="等线" w:eastAsia="仿宋" w:cs="仿宋"/>
          <w:color w:val="auto"/>
          <w:sz w:val="28"/>
          <w:szCs w:val="28"/>
          <w:u w:val="none"/>
        </w:rPr>
        <w:t>工作。</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纪委负责全程监督检查单招工作</w:t>
      </w:r>
      <w:r>
        <w:rPr>
          <w:rFonts w:hint="eastAsia" w:ascii="等线" w:hAnsi="等线" w:eastAsia="仿宋" w:cs="仿宋"/>
          <w:color w:val="auto"/>
          <w:sz w:val="28"/>
          <w:szCs w:val="28"/>
        </w:rPr>
        <w:t>。</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符合我省2024年普通高考（含对口招生考试）报名条件并已参加高考报名的人员</w:t>
      </w:r>
      <w:r>
        <w:rPr>
          <w:rFonts w:hint="eastAsia" w:ascii="等线" w:hAnsi="等线" w:eastAsia="仿宋" w:cs="仿宋"/>
          <w:color w:val="auto"/>
          <w:sz w:val="28"/>
          <w:szCs w:val="28"/>
          <w:lang w:val="en-US" w:eastAsia="zh-CN"/>
        </w:rPr>
        <w:t>均可报考</w:t>
      </w:r>
      <w:r>
        <w:rPr>
          <w:rFonts w:hint="eastAsia" w:ascii="等线" w:hAnsi="等线" w:eastAsia="仿宋" w:cs="仿宋"/>
          <w:color w:val="auto"/>
          <w:sz w:val="28"/>
          <w:szCs w:val="28"/>
        </w:rPr>
        <w:t>。对于符合报名条件尚未参加高考报名、且有意愿报考单招的人员，须于2024年2月20日－22日到户籍所在县市区招生考试机构指定的报名点办理补报名手续。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单招报考设第一志愿和第二志愿，考生可选择1－2所院校</w:t>
      </w:r>
      <w:r>
        <w:rPr>
          <w:rFonts w:hint="eastAsia" w:ascii="等线" w:hAnsi="等线" w:eastAsia="仿宋" w:cs="仿宋"/>
          <w:color w:val="auto"/>
          <w:sz w:val="28"/>
          <w:szCs w:val="28"/>
          <w:lang w:val="en-US" w:eastAsia="zh-CN"/>
        </w:rPr>
        <w:t>在指定网上平台进行报考</w:t>
      </w:r>
      <w:r>
        <w:rPr>
          <w:rFonts w:hint="eastAsia" w:ascii="等线" w:hAnsi="等线" w:eastAsia="仿宋" w:cs="仿宋"/>
          <w:color w:val="auto"/>
          <w:sz w:val="28"/>
          <w:szCs w:val="28"/>
          <w:lang w:eastAsia="zh-CN"/>
        </w:rPr>
        <w:t>。</w:t>
      </w:r>
    </w:p>
    <w:p>
      <w:pPr>
        <w:numPr>
          <w:ilvl w:val="0"/>
          <w:numId w:val="0"/>
        </w:numPr>
        <w:adjustRightInd/>
        <w:snapToGrid/>
        <w:spacing w:line="6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lang w:val="en-US" w:eastAsia="zh-CN"/>
        </w:rPr>
        <w:t>请考生在报考前关注本校网站（www.hnvist.cn）公布的有关信息。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第十条</w:t>
      </w:r>
      <w:r>
        <w:rPr>
          <w:rFonts w:hint="eastAsia" w:ascii="等线" w:hAnsi="等线" w:eastAsia="仿宋" w:cs="仿宋"/>
          <w:color w:val="auto"/>
          <w:sz w:val="28"/>
          <w:szCs w:val="28"/>
          <w:lang w:val="en-US" w:eastAsia="zh-CN"/>
        </w:rPr>
        <w:t xml:space="preserve"> 填报专业要求。我校实行专业组志愿，考生在填报我校志愿时，需选择</w:t>
      </w:r>
      <w:r>
        <w:rPr>
          <w:rFonts w:hint="eastAsia" w:ascii="等线" w:hAnsi="等线" w:eastAsia="仿宋" w:cs="仿宋"/>
          <w:color w:val="auto"/>
          <w:sz w:val="28"/>
          <w:szCs w:val="28"/>
          <w:u w:val="none"/>
          <w:lang w:val="en-US" w:eastAsia="zh-CN"/>
        </w:rPr>
        <w:t>一个专业组中的六个</w:t>
      </w:r>
      <w:r>
        <w:rPr>
          <w:rFonts w:hint="eastAsia" w:ascii="等线" w:hAnsi="等线" w:eastAsia="仿宋" w:cs="仿宋"/>
          <w:color w:val="auto"/>
          <w:sz w:val="28"/>
          <w:szCs w:val="28"/>
          <w:lang w:val="en-US" w:eastAsia="zh-CN"/>
        </w:rPr>
        <w:t>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color w:val="auto"/>
          <w:sz w:val="28"/>
          <w:szCs w:val="28"/>
          <w:lang w:eastAsia="zh-CN"/>
        </w:rPr>
        <w:t>相关</w:t>
      </w:r>
      <w:r>
        <w:rPr>
          <w:rFonts w:hint="eastAsia" w:ascii="等线" w:hAnsi="等线" w:eastAsia="仿宋" w:cs="仿宋"/>
          <w:color w:val="auto"/>
          <w:sz w:val="28"/>
          <w:szCs w:val="28"/>
        </w:rPr>
        <w:t>证明材料由考生在规定时间内提供给我校审核</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1.社会人员考生</w:t>
      </w:r>
      <w:r>
        <w:rPr>
          <w:rFonts w:hint="eastAsia" w:ascii="等线" w:hAnsi="等线" w:eastAsia="仿宋" w:cs="仿宋"/>
          <w:color w:val="auto"/>
          <w:sz w:val="28"/>
          <w:szCs w:val="28"/>
        </w:rPr>
        <w:t>资格证明材料</w:t>
      </w:r>
      <w:r>
        <w:rPr>
          <w:rFonts w:hint="eastAsia" w:ascii="等线" w:hAnsi="等线" w:eastAsia="仿宋" w:cs="仿宋"/>
          <w:color w:val="auto"/>
          <w:sz w:val="28"/>
          <w:szCs w:val="28"/>
          <w:lang w:eastAsia="zh-CN"/>
        </w:rPr>
        <w:t>。所有社会人员考生均须提供本人身份证复印件及</w:t>
      </w:r>
      <w:r>
        <w:rPr>
          <w:rFonts w:hint="eastAsia" w:ascii="等线" w:hAnsi="等线" w:eastAsia="仿宋" w:cs="仿宋"/>
          <w:color w:val="auto"/>
          <w:sz w:val="28"/>
          <w:szCs w:val="28"/>
        </w:rPr>
        <w:t>《湖南省202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年高职单招报名身份审核（界定）表》</w:t>
      </w:r>
      <w:r>
        <w:rPr>
          <w:rFonts w:hint="eastAsia" w:ascii="等线" w:hAnsi="等线" w:eastAsia="仿宋" w:cs="仿宋"/>
          <w:color w:val="auto"/>
          <w:sz w:val="28"/>
          <w:szCs w:val="28"/>
          <w:lang w:eastAsia="zh-CN"/>
        </w:rPr>
        <w:t>，同时分别提供以下材料：</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）；农</w:t>
      </w:r>
      <w:r>
        <w:rPr>
          <w:rFonts w:hint="eastAsia" w:ascii="等线" w:hAnsi="等线" w:eastAsia="仿宋" w:cs="仿宋"/>
          <w:color w:val="auto"/>
          <w:sz w:val="28"/>
          <w:szCs w:val="28"/>
        </w:rPr>
        <w:t>民工</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职工社保缴费记录、劳动用工合同、劳动用工备案信息、用工单位工资发放</w:t>
      </w:r>
      <w:r>
        <w:rPr>
          <w:rFonts w:hint="eastAsia" w:ascii="等线" w:hAnsi="等线" w:eastAsia="仿宋" w:cs="仿宋"/>
          <w:color w:val="auto"/>
          <w:sz w:val="28"/>
          <w:szCs w:val="28"/>
          <w:lang w:val="en-US" w:eastAsia="zh-CN"/>
        </w:rPr>
        <w:t>记录等4项材料中的一项以上；</w:t>
      </w:r>
      <w:r>
        <w:rPr>
          <w:rFonts w:hint="eastAsia" w:ascii="等线" w:hAnsi="等线" w:eastAsia="仿宋" w:cs="仿宋"/>
          <w:color w:val="auto"/>
          <w:sz w:val="28"/>
          <w:szCs w:val="28"/>
        </w:rPr>
        <w:t>下岗失业人员</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就业创业证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就业失业登记证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新型职业农民</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新型职业农民证书</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企业在岗人员</w:t>
      </w:r>
      <w:r>
        <w:rPr>
          <w:rFonts w:hint="eastAsia" w:ascii="等线" w:hAnsi="等线" w:eastAsia="仿宋" w:cs="仿宋"/>
          <w:color w:val="auto"/>
          <w:sz w:val="28"/>
          <w:szCs w:val="28"/>
          <w:lang w:eastAsia="zh-CN"/>
        </w:rPr>
        <w:t>须</w:t>
      </w:r>
      <w:r>
        <w:rPr>
          <w:rFonts w:hint="eastAsia" w:ascii="等线" w:hAnsi="等线" w:eastAsia="仿宋" w:cs="仿宋"/>
          <w:color w:val="auto"/>
          <w:sz w:val="28"/>
          <w:szCs w:val="28"/>
          <w:lang w:val="en-US" w:eastAsia="zh-CN"/>
        </w:rPr>
        <w:t>同时提供企业在岗证明、一年以上工资发放流水、一年以上社保缴纳记录</w:t>
      </w:r>
      <w:r>
        <w:rPr>
          <w:rFonts w:hint="eastAsia" w:ascii="等线" w:hAnsi="等线" w:eastAsia="仿宋" w:cs="仿宋"/>
          <w:color w:val="auto"/>
          <w:sz w:val="28"/>
          <w:szCs w:val="28"/>
        </w:rPr>
        <w:t>。</w:t>
      </w:r>
    </w:p>
    <w:p>
      <w:pPr>
        <w:spacing w:line="500" w:lineRule="exact"/>
        <w:ind w:firstLine="560" w:firstLineChars="200"/>
        <w:rPr>
          <w:rFonts w:hint="default" w:ascii="等线" w:hAnsi="等线" w:eastAsia="仿宋" w:cs="仿宋"/>
          <w:color w:val="auto"/>
          <w:sz w:val="28"/>
          <w:szCs w:val="28"/>
          <w:u w:val="none"/>
          <w:lang w:val="en-US"/>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材料提交时间及方式</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val="en-US" w:eastAsia="zh-CN"/>
        </w:rPr>
        <w:t>须在2024年3月6日前将符合上述要求的</w:t>
      </w:r>
      <w:r>
        <w:rPr>
          <w:rFonts w:hint="eastAsia" w:ascii="等线" w:hAnsi="等线" w:eastAsia="仿宋" w:cs="仿宋"/>
          <w:color w:val="auto"/>
          <w:sz w:val="28"/>
          <w:szCs w:val="28"/>
          <w:u w:val="none"/>
        </w:rPr>
        <w:t>证明材料</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现场提交至学校招生就业与创新创业工作处审核（具体联系方式：0731-84396555）。</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4"/>
        </w:numPr>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我校</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年单招</w:t>
      </w:r>
      <w:r>
        <w:rPr>
          <w:rFonts w:hint="eastAsia" w:ascii="等线" w:hAnsi="等线" w:eastAsia="仿宋" w:cs="仿宋"/>
          <w:color w:val="auto"/>
          <w:sz w:val="28"/>
          <w:szCs w:val="28"/>
          <w:u w:val="none"/>
          <w:lang w:val="en-US" w:eastAsia="zh-CN"/>
        </w:rPr>
        <w:t>总</w:t>
      </w:r>
      <w:r>
        <w:rPr>
          <w:rFonts w:hint="eastAsia" w:ascii="等线" w:hAnsi="等线" w:eastAsia="仿宋" w:cs="仿宋"/>
          <w:color w:val="auto"/>
          <w:sz w:val="28"/>
          <w:szCs w:val="28"/>
          <w:u w:val="none"/>
        </w:rPr>
        <w:t>计划数为</w:t>
      </w:r>
      <w:r>
        <w:rPr>
          <w:rFonts w:hint="eastAsia" w:ascii="等线" w:hAnsi="等线" w:eastAsia="仿宋" w:cs="仿宋"/>
          <w:color w:val="auto"/>
          <w:sz w:val="28"/>
          <w:szCs w:val="28"/>
          <w:u w:val="none"/>
          <w:lang w:val="en-US" w:eastAsia="zh-CN"/>
        </w:rPr>
        <w:t>2200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，其中包</w:t>
      </w:r>
      <w:r>
        <w:rPr>
          <w:rFonts w:hint="eastAsia" w:ascii="等线" w:hAnsi="等线" w:eastAsia="仿宋" w:cs="仿宋"/>
          <w:color w:val="auto"/>
          <w:sz w:val="28"/>
          <w:szCs w:val="28"/>
          <w:u w:val="none"/>
          <w:lang w:val="en-US" w:eastAsia="zh-CN"/>
        </w:rPr>
        <w:t>含单列计划的退役军人20人、其他社会人员100人、艺术特长生21人</w:t>
      </w:r>
      <w:r>
        <w:rPr>
          <w:rFonts w:hint="eastAsia" w:ascii="等线" w:hAnsi="等线" w:eastAsia="仿宋" w:cs="仿宋"/>
          <w:color w:val="auto"/>
          <w:sz w:val="28"/>
          <w:szCs w:val="28"/>
          <w:u w:val="none"/>
          <w:lang w:eastAsia="zh-CN"/>
        </w:rPr>
        <w:t>。本校</w:t>
      </w:r>
      <w:r>
        <w:rPr>
          <w:rFonts w:hint="eastAsia" w:ascii="等线" w:hAnsi="等线" w:eastAsia="仿宋" w:cs="仿宋"/>
          <w:color w:val="auto"/>
          <w:sz w:val="28"/>
          <w:szCs w:val="28"/>
          <w:u w:val="none"/>
          <w:lang w:val="en-US" w:eastAsia="zh-CN"/>
        </w:rPr>
        <w:t>2024年招生专业（方向）共26个。</w:t>
      </w:r>
      <w:r>
        <w:rPr>
          <w:rFonts w:hint="eastAsia" w:ascii="等线" w:hAnsi="等线" w:eastAsia="仿宋" w:cs="仿宋"/>
          <w:color w:val="auto"/>
          <w:sz w:val="28"/>
          <w:szCs w:val="28"/>
          <w:u w:val="none"/>
        </w:rPr>
        <w:t>分专业</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方向</w:t>
      </w:r>
      <w:r>
        <w:rPr>
          <w:rFonts w:hint="eastAsia" w:ascii="等线" w:hAnsi="等线" w:eastAsia="仿宋" w:cs="仿宋"/>
          <w:color w:val="auto"/>
          <w:sz w:val="28"/>
          <w:szCs w:val="28"/>
          <w:u w:val="none"/>
          <w:lang w:eastAsia="zh-CN"/>
        </w:rPr>
        <w:t>）单招</w:t>
      </w:r>
      <w:r>
        <w:rPr>
          <w:rFonts w:hint="eastAsia" w:ascii="等线" w:hAnsi="等线" w:eastAsia="仿宋" w:cs="仿宋"/>
          <w:color w:val="auto"/>
          <w:sz w:val="28"/>
          <w:szCs w:val="28"/>
          <w:u w:val="none"/>
        </w:rPr>
        <w:t>计划及学费标准如下表，各专业最终学费标准以2</w:t>
      </w:r>
      <w:r>
        <w:rPr>
          <w:rFonts w:ascii="等线" w:hAnsi="等线" w:eastAsia="仿宋" w:cs="仿宋"/>
          <w:color w:val="auto"/>
          <w:sz w:val="28"/>
          <w:szCs w:val="28"/>
          <w:u w:val="none"/>
        </w:rPr>
        <w:t>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年湖南省物价主管部门审核为准。</w:t>
      </w:r>
    </w:p>
    <w:tbl>
      <w:tblPr>
        <w:tblStyle w:val="13"/>
        <w:tblW w:w="83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303"/>
        <w:gridCol w:w="4643"/>
        <w:gridCol w:w="1125"/>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Style w:val="20"/>
                <w:color w:val="auto"/>
                <w:lang w:val="en-US" w:eastAsia="zh-CN" w:bidi="ar"/>
              </w:rPr>
              <w:t>专业组</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Style w:val="20"/>
                <w:color w:val="auto"/>
                <w:lang w:val="en-US" w:eastAsia="zh-CN" w:bidi="ar"/>
              </w:rPr>
              <w:t>专业名称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Style w:val="20"/>
                <w:color w:val="auto"/>
                <w:lang w:val="en-US" w:eastAsia="zh-CN" w:bidi="ar"/>
              </w:rPr>
              <w:t>计划数</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Style w:val="20"/>
                <w:color w:val="auto"/>
                <w:lang w:val="en-US" w:eastAsia="zh-CN" w:bidi="ar"/>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auto"/>
                <w:sz w:val="21"/>
                <w:szCs w:val="21"/>
                <w:u w:val="none"/>
              </w:rPr>
            </w:pP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auto"/>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auto"/>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Style w:val="20"/>
                <w:color w:val="auto"/>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2"/>
                <w:rFonts w:hint="eastAsia" w:ascii="仿宋" w:hAnsi="仿宋" w:eastAsia="仿宋" w:cs="仿宋"/>
                <w:color w:val="auto"/>
                <w:sz w:val="21"/>
                <w:szCs w:val="21"/>
                <w:lang w:val="en-US" w:eastAsia="zh-CN" w:bidi="ar"/>
              </w:rPr>
              <w:t>专业组一</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应急救援技术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消防救援技术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专业组二</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安全智能监测技术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电子信息工程技术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电气自动化技术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工业机器人技术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机械制造及自动化</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专业组三</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建筑消防技术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测绘地理信息技术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专业组四</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安全技术与管理（注册安全工程师）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安全技术与管理（爆破现场工程师）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烟花爆竹技术与管理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矿山智能开采技术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职业健康安全技术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工程安全评价与监理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专业组五</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计算机网络技术（网络规划与设计）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计算机网络技术（云安全技术与应用）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软件技术（企业电子商务运营管理）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软件技术（高级软件开发工程师）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信息安全技术应用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虚拟现实技术应用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专业组六</w:t>
            </w: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大数据与会计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市场营销</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酒店管理与数字化运营</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人力资源管理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auto"/>
                <w:sz w:val="21"/>
                <w:szCs w:val="21"/>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21"/>
                <w:rFonts w:hint="eastAsia" w:ascii="仿宋" w:hAnsi="仿宋" w:eastAsia="仿宋" w:cs="仿宋"/>
                <w:color w:val="auto"/>
                <w:sz w:val="21"/>
                <w:szCs w:val="21"/>
                <w:lang w:val="en-US" w:eastAsia="zh-CN" w:bidi="ar"/>
              </w:rPr>
              <w:t>商务英语</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9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ind w:firstLineChars="200"/>
              <w:jc w:val="center"/>
              <w:textAlignment w:val="center"/>
              <w:rPr>
                <w:rFonts w:hint="eastAsia" w:ascii="仿宋" w:hAnsi="仿宋" w:eastAsia="仿宋" w:cs="仿宋"/>
                <w:b/>
                <w:bCs/>
                <w:i w:val="0"/>
                <w:iCs w:val="0"/>
                <w:color w:val="auto"/>
                <w:sz w:val="21"/>
                <w:szCs w:val="21"/>
                <w:u w:val="none"/>
              </w:rPr>
            </w:pPr>
            <w:r>
              <w:rPr>
                <w:rStyle w:val="20"/>
                <w:rFonts w:hint="eastAsia" w:ascii="仿宋" w:hAnsi="仿宋" w:eastAsia="仿宋" w:cs="仿宋"/>
                <w:color w:val="auto"/>
                <w:sz w:val="21"/>
                <w:szCs w:val="21"/>
                <w:lang w:val="en-US" w:eastAsia="zh-CN" w:bidi="ar"/>
              </w:rPr>
              <w:t>单招总计划</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rPr>
            </w:pPr>
            <w:r>
              <w:rPr>
                <w:rFonts w:hint="eastAsia" w:ascii="仿宋" w:hAnsi="仿宋" w:eastAsia="仿宋" w:cs="仿宋"/>
                <w:b/>
                <w:bCs/>
                <w:i w:val="0"/>
                <w:iCs w:val="0"/>
                <w:color w:val="auto"/>
                <w:kern w:val="0"/>
                <w:sz w:val="21"/>
                <w:szCs w:val="21"/>
                <w:u w:val="none"/>
                <w:lang w:val="en-US" w:eastAsia="zh-CN" w:bidi="ar"/>
              </w:rPr>
              <w:t>2200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rPr>
            </w:pPr>
            <w:r>
              <w:rPr>
                <w:rFonts w:hint="eastAsia" w:ascii="宋体" w:hAnsi="宋体" w:cs="宋体"/>
                <w:b/>
                <w:bCs/>
                <w:color w:val="auto"/>
                <w:kern w:val="0"/>
                <w:szCs w:val="21"/>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b/>
                <w:bCs/>
                <w:i w:val="0"/>
                <w:iCs w:val="0"/>
                <w:color w:val="auto"/>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auto"/>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auto"/>
                <w:sz w:val="21"/>
                <w:szCs w:val="21"/>
                <w:u w:val="none"/>
              </w:rPr>
            </w:pPr>
          </w:p>
        </w:tc>
      </w:tr>
    </w:tbl>
    <w:p>
      <w:pPr>
        <w:widowControl/>
        <w:spacing w:line="500" w:lineRule="exact"/>
        <w:jc w:val="left"/>
        <w:rPr>
          <w:rFonts w:hint="default"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特别提醒：</w:t>
      </w:r>
      <w:r>
        <w:rPr>
          <w:rFonts w:hint="eastAsia" w:ascii="等线" w:hAnsi="等线" w:eastAsia="仿宋" w:cs="仿宋"/>
          <w:color w:val="auto"/>
          <w:sz w:val="28"/>
          <w:szCs w:val="28"/>
          <w:lang w:val="en-US" w:eastAsia="zh-CN"/>
        </w:rPr>
        <w:t>商务英语专业考生外语语种需为英语，应届普通高中毕业考生英语单科成绩不得低于70分，中职考生和往届普通高中考生及同等学力考生英语单科成绩不得低于60分，英语成绩不达标者一律不得录取至商务英语专业。</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u w:val="none"/>
          <w:lang w:val="en-US" w:eastAsia="zh-CN"/>
        </w:rPr>
      </w:pPr>
      <w:r>
        <w:rPr>
          <w:rFonts w:hint="eastAsia" w:ascii="仿宋" w:hAnsi="仿宋" w:eastAsia="仿宋" w:cs="宋体"/>
          <w:color w:val="auto"/>
          <w:kern w:val="0"/>
          <w:sz w:val="28"/>
          <w:lang w:val="en-US" w:eastAsia="zh-CN"/>
        </w:rPr>
        <w:t>1.</w:t>
      </w:r>
      <w:r>
        <w:rPr>
          <w:rFonts w:hint="eastAsia" w:ascii="仿宋" w:hAnsi="仿宋" w:eastAsia="仿宋" w:cs="宋体"/>
          <w:color w:val="auto"/>
          <w:kern w:val="0"/>
          <w:sz w:val="28"/>
          <w:u w:val="none"/>
          <w:lang w:val="en-US" w:eastAsia="zh-CN"/>
        </w:rPr>
        <w:t>退役军人计划</w:t>
      </w:r>
      <w:r>
        <w:rPr>
          <w:rFonts w:hint="eastAsia" w:ascii="等线" w:hAnsi="等线" w:eastAsia="仿宋" w:cs="仿宋"/>
          <w:color w:val="auto"/>
          <w:sz w:val="28"/>
          <w:szCs w:val="28"/>
          <w:u w:val="none"/>
          <w:lang w:val="en-US" w:eastAsia="zh-CN"/>
        </w:rPr>
        <w:t>20人，考生</w:t>
      </w:r>
      <w:r>
        <w:rPr>
          <w:rFonts w:hint="eastAsia" w:ascii="仿宋" w:hAnsi="仿宋" w:eastAsia="仿宋" w:cs="宋体"/>
          <w:color w:val="auto"/>
          <w:kern w:val="0"/>
          <w:sz w:val="28"/>
          <w:u w:val="none"/>
          <w:lang w:val="en-US" w:eastAsia="zh-CN"/>
        </w:rPr>
        <w:t>可在上表专业范围内自行选择报考。</w:t>
      </w:r>
    </w:p>
    <w:p>
      <w:pPr>
        <w:widowControl/>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仿宋" w:hAnsi="仿宋" w:eastAsia="仿宋" w:cs="宋体"/>
          <w:color w:val="auto"/>
          <w:kern w:val="0"/>
          <w:sz w:val="28"/>
          <w:u w:val="none"/>
          <w:lang w:val="en-US" w:eastAsia="zh-CN"/>
        </w:rPr>
        <w:t>2</w:t>
      </w:r>
      <w:r>
        <w:rPr>
          <w:rFonts w:hint="eastAsia" w:ascii="仿宋" w:hAnsi="仿宋" w:eastAsia="仿宋" w:cs="宋体"/>
          <w:color w:val="auto"/>
          <w:kern w:val="0"/>
          <w:sz w:val="28"/>
          <w:u w:val="none"/>
          <w:lang w:eastAsia="zh-CN"/>
        </w:rPr>
        <w:t>.其他社会人员（</w:t>
      </w:r>
      <w:r>
        <w:rPr>
          <w:rFonts w:hint="eastAsia" w:ascii="仿宋" w:hAnsi="仿宋" w:eastAsia="仿宋" w:cs="宋体"/>
          <w:color w:val="auto"/>
          <w:kern w:val="0"/>
          <w:sz w:val="28"/>
          <w:u w:val="none"/>
        </w:rPr>
        <w:t>农民工、下岗失业人员、新型职业农民和企业在岗人员</w:t>
      </w:r>
      <w:r>
        <w:rPr>
          <w:rFonts w:hint="eastAsia" w:ascii="仿宋" w:hAnsi="仿宋" w:eastAsia="仿宋" w:cs="宋体"/>
          <w:color w:val="auto"/>
          <w:kern w:val="0"/>
          <w:sz w:val="28"/>
          <w:u w:val="none"/>
          <w:lang w:eastAsia="zh-CN"/>
        </w:rPr>
        <w:t>）</w:t>
      </w:r>
      <w:r>
        <w:rPr>
          <w:rFonts w:hint="eastAsia" w:ascii="仿宋" w:hAnsi="仿宋" w:eastAsia="仿宋" w:cs="宋体"/>
          <w:color w:val="auto"/>
          <w:kern w:val="0"/>
          <w:sz w:val="28"/>
          <w:u w:val="none"/>
          <w:lang w:val="en-US" w:eastAsia="zh-CN"/>
        </w:rPr>
        <w:t>计划</w:t>
      </w:r>
      <w:r>
        <w:rPr>
          <w:rFonts w:hint="eastAsia" w:ascii="等线" w:hAnsi="等线" w:eastAsia="仿宋" w:cs="仿宋"/>
          <w:color w:val="auto"/>
          <w:sz w:val="28"/>
          <w:szCs w:val="28"/>
          <w:u w:val="none"/>
          <w:lang w:val="en-US" w:eastAsia="zh-CN"/>
        </w:rPr>
        <w:t>100人</w:t>
      </w:r>
      <w:r>
        <w:rPr>
          <w:rFonts w:hint="eastAsia" w:ascii="仿宋" w:hAnsi="仿宋" w:eastAsia="仿宋" w:cs="宋体"/>
          <w:color w:val="auto"/>
          <w:kern w:val="0"/>
          <w:sz w:val="28"/>
          <w:u w:val="none"/>
          <w:lang w:eastAsia="zh-CN"/>
        </w:rPr>
        <w:t>，</w:t>
      </w:r>
      <w:r>
        <w:rPr>
          <w:rFonts w:hint="eastAsia" w:ascii="仿宋" w:hAnsi="仿宋" w:eastAsia="仿宋" w:cs="宋体"/>
          <w:color w:val="auto"/>
          <w:kern w:val="0"/>
          <w:sz w:val="28"/>
          <w:u w:val="none"/>
          <w:lang w:val="en-US" w:eastAsia="zh-CN"/>
        </w:rPr>
        <w:t>其中</w:t>
      </w:r>
      <w:r>
        <w:rPr>
          <w:rFonts w:hint="eastAsia" w:ascii="等线" w:hAnsi="等线" w:eastAsia="仿宋" w:cs="仿宋"/>
          <w:color w:val="auto"/>
          <w:sz w:val="28"/>
          <w:szCs w:val="28"/>
          <w:u w:val="none"/>
          <w:lang w:val="en-US" w:eastAsia="zh-CN"/>
        </w:rPr>
        <w:t>安全技术与管理（注册安全工程师）专业50人；安全智能监测技术专业50人。</w:t>
      </w:r>
    </w:p>
    <w:p>
      <w:pPr>
        <w:widowControl/>
        <w:spacing w:line="500" w:lineRule="exact"/>
        <w:ind w:firstLine="560" w:firstLineChars="200"/>
        <w:jc w:val="left"/>
        <w:rPr>
          <w:rFonts w:hint="eastAsia" w:ascii="仿宋" w:hAnsi="仿宋" w:eastAsia="仿宋" w:cs="仿宋"/>
          <w:color w:val="auto"/>
          <w:kern w:val="0"/>
          <w:sz w:val="28"/>
          <w:lang w:eastAsia="zh-CN"/>
        </w:rPr>
      </w:pPr>
      <w:r>
        <w:rPr>
          <w:rFonts w:hint="eastAsia" w:ascii="仿宋" w:hAnsi="仿宋" w:eastAsia="仿宋" w:cs="宋体"/>
          <w:color w:val="auto"/>
          <w:kern w:val="0"/>
          <w:sz w:val="28"/>
        </w:rPr>
        <w:t>3</w:t>
      </w:r>
      <w:r>
        <w:rPr>
          <w:rFonts w:hint="eastAsia" w:ascii="仿宋" w:hAnsi="仿宋" w:eastAsia="仿宋" w:cs="宋体"/>
          <w:color w:val="auto"/>
          <w:kern w:val="0"/>
          <w:sz w:val="28"/>
          <w:lang w:eastAsia="zh-CN"/>
        </w:rPr>
        <w:t>.</w:t>
      </w:r>
      <w:r>
        <w:rPr>
          <w:rFonts w:hint="eastAsia" w:ascii="仿宋" w:hAnsi="仿宋" w:eastAsia="仿宋" w:cs="仿宋"/>
          <w:color w:val="auto"/>
          <w:kern w:val="0"/>
          <w:sz w:val="28"/>
          <w:lang w:val="en-US" w:eastAsia="zh-CN"/>
        </w:rPr>
        <w:t>艺术特长生</w:t>
      </w:r>
      <w:r>
        <w:rPr>
          <w:rFonts w:hint="eastAsia" w:ascii="仿宋" w:hAnsi="仿宋" w:eastAsia="仿宋" w:cs="仿宋"/>
          <w:color w:val="auto"/>
          <w:kern w:val="0"/>
          <w:sz w:val="28"/>
        </w:rPr>
        <w:t>招生计划</w:t>
      </w:r>
      <w:r>
        <w:rPr>
          <w:rFonts w:hint="eastAsia" w:ascii="仿宋" w:hAnsi="仿宋" w:eastAsia="仿宋" w:cs="仿宋"/>
          <w:color w:val="auto"/>
          <w:sz w:val="28"/>
          <w:szCs w:val="28"/>
          <w:u w:val="none"/>
          <w:lang w:val="en-US" w:eastAsia="zh-CN"/>
        </w:rPr>
        <w:t>21</w:t>
      </w:r>
      <w:r>
        <w:rPr>
          <w:rFonts w:hint="eastAsia" w:ascii="仿宋" w:hAnsi="仿宋" w:eastAsia="仿宋" w:cs="仿宋"/>
          <w:color w:val="auto"/>
          <w:kern w:val="0"/>
          <w:sz w:val="28"/>
          <w:u w:val="none"/>
        </w:rPr>
        <w:t>人</w:t>
      </w:r>
      <w:r>
        <w:rPr>
          <w:rFonts w:hint="eastAsia" w:ascii="仿宋" w:hAnsi="仿宋" w:eastAsia="仿宋" w:cs="仿宋"/>
          <w:color w:val="auto"/>
          <w:kern w:val="0"/>
          <w:sz w:val="28"/>
          <w:lang w:eastAsia="zh-CN"/>
        </w:rPr>
        <w:t>，</w:t>
      </w:r>
      <w:r>
        <w:rPr>
          <w:rFonts w:hint="eastAsia" w:ascii="仿宋" w:hAnsi="仿宋" w:eastAsia="仿宋" w:cs="仿宋"/>
          <w:color w:val="auto"/>
          <w:kern w:val="0"/>
          <w:sz w:val="28"/>
          <w:lang w:val="en-US" w:eastAsia="zh-CN"/>
        </w:rPr>
        <w:t>考</w:t>
      </w:r>
      <w:r>
        <w:rPr>
          <w:rFonts w:hint="eastAsia" w:ascii="仿宋" w:hAnsi="仿宋" w:eastAsia="仿宋" w:cs="仿宋"/>
          <w:color w:val="auto"/>
          <w:kern w:val="0"/>
          <w:sz w:val="28"/>
        </w:rPr>
        <w:t>生可在</w:t>
      </w:r>
      <w:r>
        <w:rPr>
          <w:rFonts w:hint="eastAsia" w:ascii="仿宋" w:hAnsi="仿宋" w:eastAsia="仿宋" w:cs="仿宋"/>
          <w:color w:val="auto"/>
          <w:kern w:val="0"/>
          <w:sz w:val="28"/>
          <w:lang w:val="en-US" w:eastAsia="zh-CN"/>
        </w:rPr>
        <w:t>上表</w:t>
      </w:r>
      <w:r>
        <w:rPr>
          <w:rFonts w:hint="eastAsia" w:ascii="仿宋" w:hAnsi="仿宋" w:eastAsia="仿宋" w:cs="仿宋"/>
          <w:color w:val="auto"/>
          <w:kern w:val="0"/>
          <w:sz w:val="28"/>
        </w:rPr>
        <w:t>单招专业范围内自行选择报考专业</w:t>
      </w:r>
      <w:r>
        <w:rPr>
          <w:rFonts w:hint="eastAsia" w:ascii="仿宋" w:hAnsi="仿宋" w:eastAsia="仿宋" w:cs="仿宋"/>
          <w:color w:val="auto"/>
          <w:kern w:val="0"/>
          <w:sz w:val="28"/>
          <w:lang w:eastAsia="zh-CN"/>
        </w:rPr>
        <w:t>（</w:t>
      </w:r>
      <w:r>
        <w:rPr>
          <w:rFonts w:hint="eastAsia" w:ascii="仿宋" w:hAnsi="仿宋" w:eastAsia="仿宋" w:cs="仿宋"/>
          <w:color w:val="auto"/>
          <w:kern w:val="0"/>
          <w:sz w:val="28"/>
          <w:lang w:val="en-US" w:eastAsia="zh-CN"/>
        </w:rPr>
        <w:t>美术与设计类特长生建议报考虚拟现实技术应用专业</w:t>
      </w:r>
      <w:r>
        <w:rPr>
          <w:rFonts w:hint="eastAsia" w:ascii="仿宋" w:hAnsi="仿宋" w:eastAsia="仿宋" w:cs="仿宋"/>
          <w:color w:val="auto"/>
          <w:kern w:val="0"/>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lang w:val="en-US" w:eastAsia="zh-CN"/>
        </w:rPr>
        <w:t>第十四条</w:t>
      </w:r>
      <w:r>
        <w:rPr>
          <w:rFonts w:hint="eastAsia" w:ascii="等线" w:hAnsi="等线" w:eastAsia="仿宋" w:cs="宋体"/>
          <w:color w:val="auto"/>
          <w:kern w:val="0"/>
          <w:sz w:val="28"/>
          <w:lang w:val="en-US" w:eastAsia="zh-CN"/>
        </w:rPr>
        <w:t xml:space="preserve"> 学校在</w:t>
      </w:r>
      <w:r>
        <w:rPr>
          <w:rFonts w:hint="eastAsia" w:ascii="等线" w:hAnsi="等线" w:eastAsia="仿宋" w:cs="宋体"/>
          <w:color w:val="auto"/>
          <w:kern w:val="0"/>
          <w:sz w:val="28"/>
          <w:lang w:eastAsia="zh-CN"/>
        </w:rPr>
        <w:t>考试结束后，以实际参考人数为基数，按比例确定各专业不同类别考生的计划数。</w:t>
      </w:r>
      <w:r>
        <w:rPr>
          <w:rFonts w:hint="eastAsia" w:ascii="等线" w:hAnsi="等线" w:eastAsia="仿宋" w:cs="宋体"/>
          <w:color w:val="auto"/>
          <w:kern w:val="0"/>
          <w:sz w:val="28"/>
          <w:lang w:val="en-US" w:eastAsia="zh-CN"/>
        </w:rPr>
        <w:t>学校</w:t>
      </w:r>
      <w:r>
        <w:rPr>
          <w:rFonts w:hint="eastAsia" w:ascii="等线" w:hAnsi="等线" w:eastAsia="仿宋" w:cs="宋体"/>
          <w:color w:val="auto"/>
          <w:kern w:val="0"/>
          <w:sz w:val="28"/>
        </w:rPr>
        <w:t>各专业各类别计划确定并公布后，一律不调整和追加</w:t>
      </w:r>
      <w:r>
        <w:rPr>
          <w:rFonts w:hint="eastAsia" w:ascii="等线" w:hAnsi="等线" w:eastAsia="仿宋" w:cs="宋体"/>
          <w:color w:val="auto"/>
          <w:kern w:val="0"/>
          <w:sz w:val="28"/>
          <w:lang w:eastAsia="zh-CN"/>
        </w:rPr>
        <w:t>。单招未完成的计划转为统招计划使用。</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lang w:eastAsia="zh-CN"/>
        </w:rPr>
        <w:t>第十六条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w:t>
      </w:r>
      <w:r>
        <w:rPr>
          <w:rFonts w:hint="eastAsia" w:ascii="等线" w:hAnsi="等线" w:eastAsia="仿宋" w:cs="仿宋"/>
          <w:color w:val="auto"/>
          <w:sz w:val="28"/>
          <w:szCs w:val="28"/>
          <w:u w:val="none"/>
        </w:rPr>
        <w:t>效成绩）、中职考生和往届普通高中考生及同等学力考生（含普通高中学业水平合格性考试有效成绩不全的应届普通高中考生）、退役军人、其他社会人员、</w:t>
      </w:r>
      <w:r>
        <w:rPr>
          <w:rFonts w:hint="eastAsia" w:ascii="等线" w:hAnsi="等线" w:eastAsia="仿宋" w:cs="仿宋"/>
          <w:color w:val="auto"/>
          <w:sz w:val="28"/>
          <w:szCs w:val="28"/>
          <w:u w:val="none"/>
          <w:lang w:val="en-US" w:eastAsia="zh-CN"/>
        </w:rPr>
        <w:t>艺术</w:t>
      </w:r>
      <w:r>
        <w:rPr>
          <w:rFonts w:hint="eastAsia" w:ascii="等线" w:hAnsi="等线" w:eastAsia="仿宋" w:cs="仿宋"/>
          <w:color w:val="auto"/>
          <w:sz w:val="28"/>
          <w:szCs w:val="28"/>
          <w:u w:val="none"/>
        </w:rPr>
        <w:t>特长生</w:t>
      </w:r>
      <w:r>
        <w:rPr>
          <w:rFonts w:hint="eastAsia" w:ascii="等线" w:hAnsi="等线" w:eastAsia="仿宋" w:cs="仿宋"/>
          <w:color w:val="auto"/>
          <w:sz w:val="28"/>
          <w:szCs w:val="28"/>
          <w:u w:val="none"/>
          <w:lang w:val="en-US" w:eastAsia="zh-CN"/>
        </w:rPr>
        <w:t>5个</w:t>
      </w:r>
      <w:r>
        <w:rPr>
          <w:rFonts w:hint="eastAsia" w:ascii="等线" w:hAnsi="等线" w:eastAsia="仿宋" w:cs="仿宋"/>
          <w:color w:val="auto"/>
          <w:sz w:val="28"/>
          <w:szCs w:val="28"/>
          <w:u w:val="none"/>
        </w:rPr>
        <w:t>大类。</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b w:val="0"/>
          <w:bCs w:val="0"/>
          <w:color w:val="auto"/>
          <w:sz w:val="28"/>
          <w:szCs w:val="28"/>
          <w:u w:val="none"/>
          <w:lang w:eastAsia="zh-CN"/>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外语三</w:t>
      </w:r>
      <w:r>
        <w:rPr>
          <w:rFonts w:hint="eastAsia" w:ascii="等线" w:hAnsi="等线" w:eastAsia="仿宋" w:cs="仿宋"/>
          <w:color w:val="auto"/>
          <w:sz w:val="28"/>
          <w:szCs w:val="28"/>
        </w:rPr>
        <w:t>科</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w:t>
      </w:r>
      <w:r>
        <w:rPr>
          <w:rFonts w:hint="eastAsia" w:ascii="等线" w:hAnsi="等线" w:eastAsia="仿宋" w:cs="仿宋"/>
          <w:b w:val="0"/>
          <w:bCs w:val="0"/>
          <w:color w:val="auto"/>
          <w:sz w:val="28"/>
          <w:szCs w:val="28"/>
          <w:lang w:eastAsia="zh-CN"/>
        </w:rPr>
        <w:t>分专业组，按</w:t>
      </w:r>
      <w:r>
        <w:rPr>
          <w:rFonts w:hint="eastAsia" w:ascii="等线" w:hAnsi="等线" w:eastAsia="仿宋" w:cs="仿宋"/>
          <w:b w:val="0"/>
          <w:bCs w:val="0"/>
          <w:color w:val="auto"/>
          <w:sz w:val="28"/>
          <w:szCs w:val="28"/>
          <w:u w:val="none"/>
          <w:lang w:eastAsia="zh-CN"/>
        </w:rPr>
        <w:t>照人才培养需要，</w:t>
      </w:r>
      <w:r>
        <w:rPr>
          <w:rFonts w:hint="eastAsia" w:ascii="等线" w:hAnsi="等线" w:eastAsia="仿宋" w:cs="仿宋"/>
          <w:b w:val="0"/>
          <w:bCs w:val="0"/>
          <w:color w:val="auto"/>
          <w:sz w:val="28"/>
          <w:szCs w:val="28"/>
          <w:u w:val="none"/>
        </w:rPr>
        <w:t>采取机试</w:t>
      </w:r>
      <w:r>
        <w:rPr>
          <w:rFonts w:hint="eastAsia" w:ascii="等线" w:hAnsi="等线" w:eastAsia="仿宋" w:cs="仿宋"/>
          <w:b w:val="0"/>
          <w:bCs w:val="0"/>
          <w:color w:val="auto"/>
          <w:sz w:val="28"/>
          <w:szCs w:val="28"/>
          <w:u w:val="none"/>
          <w:lang w:eastAsia="zh-CN"/>
        </w:rPr>
        <w:t>进行（</w:t>
      </w:r>
      <w:r>
        <w:rPr>
          <w:rFonts w:hint="eastAsia" w:ascii="等线" w:hAnsi="等线" w:eastAsia="仿宋" w:cs="仿宋"/>
          <w:b w:val="0"/>
          <w:bCs w:val="0"/>
          <w:color w:val="auto"/>
          <w:sz w:val="28"/>
          <w:szCs w:val="28"/>
          <w:u w:val="none"/>
          <w:lang w:val="en-US" w:eastAsia="zh-CN"/>
        </w:rPr>
        <w:t>应急救援技术、消防救援技术除外</w:t>
      </w:r>
      <w:r>
        <w:rPr>
          <w:rFonts w:hint="eastAsia" w:ascii="等线" w:hAnsi="等线" w:eastAsia="仿宋" w:cs="仿宋"/>
          <w:b w:val="0"/>
          <w:bCs w:val="0"/>
          <w:color w:val="auto"/>
          <w:sz w:val="28"/>
          <w:szCs w:val="28"/>
          <w:u w:val="none"/>
          <w:lang w:eastAsia="zh-CN"/>
        </w:rPr>
        <w:t>），重点考察学生的职业适应性。</w:t>
      </w:r>
    </w:p>
    <w:p>
      <w:pPr>
        <w:spacing w:line="500" w:lineRule="exact"/>
        <w:ind w:firstLine="560" w:firstLineChars="200"/>
        <w:rPr>
          <w:rFonts w:hint="eastAsia" w:ascii="等线" w:hAnsi="等线" w:eastAsia="仿宋" w:cs="仿宋"/>
          <w:b w:val="0"/>
          <w:bCs w:val="0"/>
          <w:color w:val="auto"/>
          <w:sz w:val="28"/>
          <w:szCs w:val="28"/>
          <w:u w:val="none"/>
        </w:rPr>
      </w:pPr>
      <w:r>
        <w:rPr>
          <w:rFonts w:hint="eastAsia" w:ascii="等线" w:hAnsi="等线" w:eastAsia="仿宋" w:cs="仿宋"/>
          <w:color w:val="auto"/>
          <w:sz w:val="28"/>
          <w:szCs w:val="28"/>
          <w:u w:val="none"/>
        </w:rPr>
        <w:t>2</w:t>
      </w:r>
      <w:r>
        <w:rPr>
          <w:rFonts w:hint="eastAsia" w:ascii="等线" w:hAnsi="等线" w:eastAsia="仿宋" w:cs="仿宋"/>
          <w:color w:val="auto"/>
          <w:sz w:val="28"/>
          <w:szCs w:val="28"/>
          <w:u w:val="none"/>
          <w:lang w:eastAsia="zh-CN"/>
        </w:rPr>
        <w:t>.第二类：</w:t>
      </w:r>
      <w:r>
        <w:rPr>
          <w:rFonts w:hint="eastAsia" w:ascii="等线" w:hAnsi="等线" w:eastAsia="仿宋" w:cs="仿宋"/>
          <w:color w:val="auto"/>
          <w:sz w:val="28"/>
          <w:szCs w:val="28"/>
          <w:u w:val="none"/>
        </w:rPr>
        <w:t>中职考生和往届普通高中考生及同等</w:t>
      </w:r>
      <w:r>
        <w:rPr>
          <w:rFonts w:hint="eastAsia" w:ascii="等线" w:hAnsi="等线" w:eastAsia="仿宋" w:cs="仿宋"/>
          <w:color w:val="auto"/>
          <w:sz w:val="28"/>
          <w:szCs w:val="28"/>
        </w:rPr>
        <w:t>学力考生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b w:val="0"/>
          <w:bCs w:val="0"/>
          <w:color w:val="auto"/>
          <w:sz w:val="28"/>
          <w:szCs w:val="28"/>
          <w:u w:val="none"/>
          <w:lang w:val="en-US" w:eastAsia="zh-CN"/>
        </w:rPr>
        <w:t>考试方式为机试。</w:t>
      </w:r>
      <w:r>
        <w:rPr>
          <w:rFonts w:hint="eastAsia" w:ascii="等线" w:hAnsi="等线" w:eastAsia="仿宋" w:cs="仿宋"/>
          <w:b w:val="0"/>
          <w:bCs w:val="0"/>
          <w:color w:val="auto"/>
          <w:sz w:val="28"/>
          <w:szCs w:val="28"/>
          <w:u w:val="none"/>
        </w:rPr>
        <w:t>职业技能测试</w:t>
      </w:r>
      <w:r>
        <w:rPr>
          <w:rFonts w:hint="eastAsia" w:ascii="等线" w:hAnsi="等线" w:eastAsia="仿宋" w:cs="仿宋"/>
          <w:b w:val="0"/>
          <w:bCs w:val="0"/>
          <w:color w:val="auto"/>
          <w:sz w:val="28"/>
          <w:szCs w:val="28"/>
          <w:u w:val="none"/>
          <w:lang w:eastAsia="zh-CN"/>
        </w:rPr>
        <w:t>由学校组织，学校分专业组，按照人才培养需要，</w:t>
      </w:r>
      <w:r>
        <w:rPr>
          <w:rFonts w:hint="eastAsia" w:ascii="等线" w:hAnsi="等线" w:eastAsia="仿宋" w:cs="仿宋"/>
          <w:b w:val="0"/>
          <w:bCs w:val="0"/>
          <w:color w:val="auto"/>
          <w:sz w:val="28"/>
          <w:szCs w:val="28"/>
          <w:u w:val="none"/>
        </w:rPr>
        <w:t>采取机试</w:t>
      </w:r>
      <w:r>
        <w:rPr>
          <w:rFonts w:hint="eastAsia" w:ascii="等线" w:hAnsi="等线" w:eastAsia="仿宋" w:cs="仿宋"/>
          <w:b w:val="0"/>
          <w:bCs w:val="0"/>
          <w:color w:val="auto"/>
          <w:sz w:val="28"/>
          <w:szCs w:val="28"/>
          <w:u w:val="none"/>
          <w:lang w:eastAsia="zh-CN"/>
        </w:rPr>
        <w:t>进行（</w:t>
      </w:r>
      <w:r>
        <w:rPr>
          <w:rFonts w:hint="eastAsia" w:ascii="等线" w:hAnsi="等线" w:eastAsia="仿宋" w:cs="仿宋"/>
          <w:b w:val="0"/>
          <w:bCs w:val="0"/>
          <w:color w:val="auto"/>
          <w:sz w:val="28"/>
          <w:szCs w:val="28"/>
          <w:u w:val="none"/>
          <w:lang w:val="en-US" w:eastAsia="zh-CN"/>
        </w:rPr>
        <w:t>应急救援技术、消防救援技术除外</w:t>
      </w:r>
      <w:r>
        <w:rPr>
          <w:rFonts w:hint="eastAsia" w:ascii="等线" w:hAnsi="等线" w:eastAsia="仿宋" w:cs="仿宋"/>
          <w:b w:val="0"/>
          <w:bCs w:val="0"/>
          <w:color w:val="auto"/>
          <w:sz w:val="28"/>
          <w:szCs w:val="28"/>
          <w:u w:val="none"/>
          <w:lang w:eastAsia="zh-CN"/>
        </w:rPr>
        <w:t>），重点考察学生的职业技能。</w:t>
      </w:r>
    </w:p>
    <w:p>
      <w:pPr>
        <w:spacing w:line="500" w:lineRule="exact"/>
        <w:ind w:firstLine="560"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3.第三、第四类：</w:t>
      </w:r>
      <w:r>
        <w:rPr>
          <w:rFonts w:hint="eastAsia" w:ascii="等线" w:hAnsi="等线" w:eastAsia="仿宋" w:cs="仿宋"/>
          <w:b w:val="0"/>
          <w:bCs w:val="0"/>
          <w:color w:val="auto"/>
          <w:sz w:val="28"/>
          <w:szCs w:val="28"/>
        </w:rPr>
        <w:t>退役军人</w:t>
      </w:r>
      <w:r>
        <w:rPr>
          <w:rFonts w:hint="eastAsia" w:ascii="等线" w:hAnsi="等线" w:eastAsia="仿宋" w:cs="仿宋"/>
          <w:b w:val="0"/>
          <w:bCs w:val="0"/>
          <w:color w:val="auto"/>
          <w:sz w:val="28"/>
          <w:szCs w:val="28"/>
          <w:lang w:eastAsia="zh-CN"/>
        </w:rPr>
        <w:t>及</w:t>
      </w:r>
      <w:r>
        <w:rPr>
          <w:rFonts w:hint="eastAsia" w:ascii="等线" w:hAnsi="等线" w:eastAsia="仿宋" w:cs="仿宋"/>
          <w:b w:val="0"/>
          <w:bCs w:val="0"/>
          <w:color w:val="auto"/>
          <w:sz w:val="28"/>
          <w:szCs w:val="28"/>
        </w:rPr>
        <w:t>其他社会人员</w:t>
      </w:r>
      <w:r>
        <w:rPr>
          <w:rFonts w:hint="eastAsia" w:ascii="等线" w:hAnsi="等线" w:eastAsia="仿宋" w:cs="仿宋"/>
          <w:b w:val="0"/>
          <w:bCs w:val="0"/>
          <w:color w:val="auto"/>
          <w:sz w:val="28"/>
          <w:szCs w:val="28"/>
          <w:lang w:eastAsia="zh-CN"/>
        </w:rPr>
        <w:t>。</w:t>
      </w:r>
      <w:r>
        <w:rPr>
          <w:rFonts w:hint="eastAsia" w:ascii="等线" w:hAnsi="等线" w:eastAsia="仿宋" w:cs="仿宋"/>
          <w:b w:val="0"/>
          <w:bCs w:val="0"/>
          <w:color w:val="auto"/>
          <w:sz w:val="28"/>
          <w:szCs w:val="28"/>
        </w:rPr>
        <w:t>退役军人、农民工等社会人员考生免予文化素质测试</w:t>
      </w:r>
      <w:r>
        <w:rPr>
          <w:rFonts w:hint="eastAsia" w:ascii="等线" w:hAnsi="等线" w:eastAsia="仿宋" w:cs="仿宋"/>
          <w:b w:val="0"/>
          <w:bCs w:val="0"/>
          <w:color w:val="auto"/>
          <w:sz w:val="28"/>
          <w:szCs w:val="28"/>
          <w:lang w:eastAsia="zh-CN"/>
        </w:rPr>
        <w:t>。</w:t>
      </w:r>
      <w:r>
        <w:rPr>
          <w:rFonts w:hint="eastAsia" w:ascii="等线" w:hAnsi="等线" w:eastAsia="仿宋" w:cs="仿宋"/>
          <w:b w:val="0"/>
          <w:bCs w:val="0"/>
          <w:color w:val="auto"/>
          <w:sz w:val="28"/>
          <w:szCs w:val="28"/>
        </w:rPr>
        <w:t>职业技能测试</w:t>
      </w:r>
      <w:r>
        <w:rPr>
          <w:rFonts w:hint="eastAsia" w:ascii="等线" w:hAnsi="等线" w:eastAsia="仿宋" w:cs="仿宋"/>
          <w:b w:val="0"/>
          <w:bCs w:val="0"/>
          <w:color w:val="auto"/>
          <w:sz w:val="28"/>
          <w:szCs w:val="28"/>
          <w:lang w:eastAsia="zh-CN"/>
        </w:rPr>
        <w:t>由学校组织，参照上述第二类考生职业技能测试方式，</w:t>
      </w:r>
      <w:r>
        <w:rPr>
          <w:rFonts w:hint="eastAsia" w:ascii="等线" w:hAnsi="等线" w:eastAsia="仿宋" w:cs="仿宋"/>
          <w:b w:val="0"/>
          <w:bCs w:val="0"/>
          <w:color w:val="auto"/>
          <w:sz w:val="28"/>
          <w:szCs w:val="28"/>
        </w:rPr>
        <w:t>参加</w:t>
      </w:r>
      <w:r>
        <w:rPr>
          <w:rFonts w:hint="eastAsia" w:ascii="等线" w:hAnsi="等线" w:eastAsia="仿宋" w:cs="仿宋"/>
          <w:b w:val="0"/>
          <w:bCs w:val="0"/>
          <w:color w:val="auto"/>
          <w:sz w:val="28"/>
          <w:szCs w:val="28"/>
          <w:lang w:eastAsia="zh-CN"/>
        </w:rPr>
        <w:t>学校</w:t>
      </w:r>
      <w:r>
        <w:rPr>
          <w:rFonts w:hint="eastAsia" w:ascii="等线" w:hAnsi="等线" w:eastAsia="仿宋" w:cs="仿宋"/>
          <w:b w:val="0"/>
          <w:bCs w:val="0"/>
          <w:color w:val="auto"/>
          <w:sz w:val="28"/>
          <w:szCs w:val="28"/>
        </w:rPr>
        <w:t>组织的职业技能测试</w:t>
      </w:r>
      <w:r>
        <w:rPr>
          <w:rFonts w:hint="eastAsia" w:ascii="等线" w:hAnsi="等线" w:eastAsia="仿宋" w:cs="仿宋"/>
          <w:b w:val="0"/>
          <w:bCs w:val="0"/>
          <w:color w:val="auto"/>
          <w:sz w:val="28"/>
          <w:szCs w:val="28"/>
          <w:lang w:val="en-US" w:eastAsia="zh-CN"/>
        </w:rPr>
        <w:t>。</w:t>
      </w:r>
    </w:p>
    <w:p>
      <w:pPr>
        <w:spacing w:line="500" w:lineRule="exact"/>
        <w:ind w:firstLine="560" w:firstLineChars="200"/>
        <w:rPr>
          <w:rFonts w:hint="eastAsia" w:ascii="等线" w:hAnsi="等线" w:eastAsia="仿宋" w:cs="仿宋"/>
          <w:b w:val="0"/>
          <w:bCs w:val="0"/>
          <w:color w:val="auto"/>
          <w:sz w:val="28"/>
          <w:szCs w:val="28"/>
        </w:rPr>
      </w:pPr>
      <w:r>
        <w:rPr>
          <w:rFonts w:hint="eastAsia" w:ascii="等线" w:hAnsi="等线" w:eastAsia="仿宋" w:cs="仿宋"/>
          <w:b w:val="0"/>
          <w:bCs w:val="0"/>
          <w:color w:val="auto"/>
          <w:sz w:val="28"/>
          <w:szCs w:val="28"/>
        </w:rPr>
        <w:t>4</w:t>
      </w:r>
      <w:r>
        <w:rPr>
          <w:rFonts w:hint="eastAsia" w:ascii="等线" w:hAnsi="等线" w:eastAsia="仿宋" w:cs="仿宋"/>
          <w:b w:val="0"/>
          <w:bCs w:val="0"/>
          <w:color w:val="auto"/>
          <w:sz w:val="28"/>
          <w:szCs w:val="28"/>
          <w:lang w:eastAsia="zh-CN"/>
        </w:rPr>
        <w:t>.第五类：</w:t>
      </w:r>
      <w:r>
        <w:rPr>
          <w:rFonts w:hint="eastAsia" w:ascii="等线" w:hAnsi="等线" w:eastAsia="仿宋" w:cs="仿宋"/>
          <w:b w:val="0"/>
          <w:bCs w:val="0"/>
          <w:color w:val="auto"/>
          <w:sz w:val="28"/>
          <w:szCs w:val="28"/>
          <w:lang w:val="en-US" w:eastAsia="zh-CN"/>
        </w:rPr>
        <w:t>艺术</w:t>
      </w:r>
      <w:r>
        <w:rPr>
          <w:rFonts w:hint="eastAsia" w:ascii="等线" w:hAnsi="等线" w:eastAsia="仿宋" w:cs="仿宋"/>
          <w:b w:val="0"/>
          <w:bCs w:val="0"/>
          <w:color w:val="auto"/>
          <w:sz w:val="28"/>
          <w:szCs w:val="28"/>
        </w:rPr>
        <w:t>特长生</w:t>
      </w:r>
      <w:r>
        <w:rPr>
          <w:rFonts w:hint="eastAsia" w:ascii="等线" w:hAnsi="等线" w:eastAsia="仿宋" w:cs="仿宋"/>
          <w:b w:val="0"/>
          <w:bCs w:val="0"/>
          <w:color w:val="auto"/>
          <w:sz w:val="28"/>
          <w:szCs w:val="28"/>
          <w:lang w:eastAsia="zh-CN"/>
        </w:rPr>
        <w:t>。</w:t>
      </w:r>
      <w:r>
        <w:rPr>
          <w:rFonts w:hint="eastAsia" w:ascii="等线" w:hAnsi="等线" w:eastAsia="仿宋" w:cs="仿宋"/>
          <w:b w:val="0"/>
          <w:bCs w:val="0"/>
          <w:color w:val="auto"/>
          <w:sz w:val="28"/>
          <w:szCs w:val="28"/>
          <w:lang w:val="en-US" w:eastAsia="zh-CN"/>
        </w:rPr>
        <w:t>文化素质测试采取上述第二类的方式进行。</w:t>
      </w:r>
      <w:r>
        <w:rPr>
          <w:rFonts w:hint="default" w:ascii="等线" w:hAnsi="等线" w:eastAsia="仿宋" w:cs="仿宋"/>
          <w:sz w:val="28"/>
          <w:szCs w:val="28"/>
          <w:lang w:val="en-US" w:eastAsia="zh-CN"/>
        </w:rPr>
        <w:t>综合成绩=文化素质测试成绩+湖南省2024年艺术类专业省级统考并取得统考成绩×2÷3+艺术专项测试成绩</w:t>
      </w:r>
      <w:r>
        <w:rPr>
          <w:rFonts w:hint="eastAsia" w:ascii="等线" w:hAnsi="等线" w:eastAsia="仿宋" w:cs="仿宋"/>
          <w:b w:val="0"/>
          <w:bCs w:val="0"/>
          <w:color w:val="auto"/>
          <w:sz w:val="28"/>
          <w:szCs w:val="28"/>
          <w:lang w:val="en-US" w:eastAsia="zh-CN"/>
        </w:rPr>
        <w:t>，专项测试按照</w:t>
      </w:r>
      <w:r>
        <w:rPr>
          <w:rFonts w:hint="eastAsia" w:ascii="等线" w:hAnsi="等线" w:eastAsia="仿宋" w:cs="仿宋"/>
          <w:b w:val="0"/>
          <w:bCs w:val="0"/>
          <w:color w:val="auto"/>
          <w:sz w:val="28"/>
          <w:szCs w:val="28"/>
          <w:u w:val="none"/>
        </w:rPr>
        <w:t>《</w:t>
      </w:r>
      <w:r>
        <w:rPr>
          <w:rFonts w:hint="eastAsia" w:ascii="等线" w:hAnsi="等线" w:eastAsia="仿宋" w:cs="仿宋"/>
          <w:b w:val="0"/>
          <w:bCs w:val="0"/>
          <w:color w:val="auto"/>
          <w:sz w:val="28"/>
          <w:szCs w:val="28"/>
          <w:u w:val="none"/>
          <w:lang w:val="en-US" w:eastAsia="zh-CN"/>
        </w:rPr>
        <w:t>湖南安全技术职业</w:t>
      </w:r>
      <w:r>
        <w:rPr>
          <w:rFonts w:hint="eastAsia" w:ascii="等线" w:hAnsi="等线" w:eastAsia="仿宋" w:cs="仿宋"/>
          <w:b w:val="0"/>
          <w:bCs w:val="0"/>
          <w:color w:val="auto"/>
          <w:sz w:val="28"/>
          <w:szCs w:val="28"/>
          <w:u w:val="none"/>
        </w:rPr>
        <w:t>学</w:t>
      </w:r>
      <w:r>
        <w:rPr>
          <w:rFonts w:hint="eastAsia" w:ascii="等线" w:hAnsi="等线" w:eastAsia="仿宋" w:cs="仿宋"/>
          <w:b w:val="0"/>
          <w:bCs w:val="0"/>
          <w:color w:val="auto"/>
          <w:sz w:val="28"/>
          <w:szCs w:val="28"/>
          <w:u w:val="none"/>
          <w:lang w:val="en-US" w:eastAsia="zh-CN"/>
        </w:rPr>
        <w:t>院</w:t>
      </w:r>
      <w:r>
        <w:rPr>
          <w:rFonts w:hint="eastAsia" w:ascii="等线" w:hAnsi="等线" w:eastAsia="仿宋" w:cs="仿宋"/>
          <w:b w:val="0"/>
          <w:bCs w:val="0"/>
          <w:color w:val="auto"/>
          <w:sz w:val="28"/>
          <w:szCs w:val="28"/>
          <w:u w:val="none"/>
        </w:rPr>
        <w:t>202</w:t>
      </w:r>
      <w:r>
        <w:rPr>
          <w:rFonts w:hint="eastAsia" w:ascii="等线" w:hAnsi="等线" w:eastAsia="仿宋" w:cs="仿宋"/>
          <w:b w:val="0"/>
          <w:bCs w:val="0"/>
          <w:color w:val="auto"/>
          <w:sz w:val="28"/>
          <w:szCs w:val="28"/>
          <w:u w:val="none"/>
          <w:lang w:val="en-US" w:eastAsia="zh-CN"/>
        </w:rPr>
        <w:t>4</w:t>
      </w:r>
      <w:r>
        <w:rPr>
          <w:rFonts w:hint="eastAsia" w:ascii="等线" w:hAnsi="等线" w:eastAsia="仿宋" w:cs="仿宋"/>
          <w:b w:val="0"/>
          <w:bCs w:val="0"/>
          <w:color w:val="auto"/>
          <w:sz w:val="28"/>
          <w:szCs w:val="28"/>
          <w:u w:val="none"/>
        </w:rPr>
        <w:t>年艺术特长生高职单招方案》</w:t>
      </w:r>
      <w:r>
        <w:rPr>
          <w:rFonts w:hint="eastAsia" w:ascii="等线" w:hAnsi="等线" w:eastAsia="仿宋" w:cs="仿宋"/>
          <w:b w:val="0"/>
          <w:bCs w:val="0"/>
          <w:color w:val="auto"/>
          <w:sz w:val="28"/>
          <w:szCs w:val="28"/>
          <w:u w:val="none"/>
          <w:lang w:eastAsia="zh-CN"/>
        </w:rPr>
        <w:t>（</w:t>
      </w:r>
      <w:r>
        <w:rPr>
          <w:rFonts w:hint="eastAsia" w:ascii="等线" w:hAnsi="等线" w:eastAsia="仿宋" w:cs="仿宋"/>
          <w:b w:val="0"/>
          <w:bCs w:val="0"/>
          <w:color w:val="auto"/>
          <w:sz w:val="28"/>
          <w:szCs w:val="28"/>
          <w:u w:val="none"/>
          <w:lang w:val="en-US" w:eastAsia="zh-CN"/>
        </w:rPr>
        <w:t>见附件1</w:t>
      </w:r>
      <w:r>
        <w:rPr>
          <w:rFonts w:hint="eastAsia" w:ascii="等线" w:hAnsi="等线" w:eastAsia="仿宋" w:cs="仿宋"/>
          <w:b w:val="0"/>
          <w:bCs w:val="0"/>
          <w:color w:val="auto"/>
          <w:sz w:val="28"/>
          <w:szCs w:val="28"/>
          <w:u w:val="none"/>
          <w:lang w:eastAsia="zh-CN"/>
        </w:rPr>
        <w:t>）</w:t>
      </w:r>
      <w:r>
        <w:rPr>
          <w:rFonts w:hint="eastAsia" w:ascii="等线" w:hAnsi="等线" w:eastAsia="仿宋" w:cs="仿宋"/>
          <w:b w:val="0"/>
          <w:bCs w:val="0"/>
          <w:color w:val="auto"/>
          <w:sz w:val="28"/>
          <w:szCs w:val="28"/>
          <w:lang w:eastAsia="zh-CN"/>
        </w:rPr>
        <w:t>执行，</w:t>
      </w:r>
      <w:r>
        <w:rPr>
          <w:rFonts w:hint="eastAsia" w:ascii="等线" w:hAnsi="等线" w:eastAsia="仿宋" w:cs="仿宋"/>
          <w:b w:val="0"/>
          <w:bCs w:val="0"/>
          <w:color w:val="auto"/>
          <w:sz w:val="28"/>
          <w:szCs w:val="28"/>
          <w:lang w:val="en-US" w:eastAsia="zh-CN"/>
        </w:rPr>
        <w:t>艺术特长生可根据其考生类别选择参加第一类、第二类考生参加考试，如未录取为我校艺术特长生，可按其所属考生类别规则再进行录取</w:t>
      </w:r>
      <w:r>
        <w:rPr>
          <w:rFonts w:hint="eastAsia" w:ascii="等线" w:hAnsi="等线" w:eastAsia="仿宋" w:cs="仿宋"/>
          <w:b w:val="0"/>
          <w:bCs w:val="0"/>
          <w:color w:val="auto"/>
          <w:sz w:val="28"/>
          <w:szCs w:val="28"/>
        </w:rPr>
        <w:t>。</w:t>
      </w:r>
    </w:p>
    <w:p>
      <w:pPr>
        <w:spacing w:line="500" w:lineRule="exact"/>
        <w:ind w:firstLine="562" w:firstLineChars="200"/>
        <w:rPr>
          <w:rFonts w:hint="eastAsia" w:ascii="等线" w:hAnsi="等线" w:eastAsia="仿宋" w:cs="仿宋"/>
          <w:b w:val="0"/>
          <w:bCs w:val="0"/>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第十八条 </w:t>
      </w:r>
      <w:r>
        <w:rPr>
          <w:rFonts w:hint="eastAsia" w:ascii="等线" w:hAnsi="等线" w:eastAsia="仿宋" w:cs="仿宋"/>
          <w:b w:val="0"/>
          <w:bCs w:val="0"/>
          <w:color w:val="auto"/>
          <w:sz w:val="28"/>
          <w:szCs w:val="28"/>
          <w:u w:val="none"/>
          <w:lang w:val="en-US" w:eastAsia="zh-CN"/>
        </w:rPr>
        <w:t>考生的综合成绩为文化素质测试成绩+职业技能测试成绩。上述第一类、第二类、第五类考生的高职单招综合成绩（总成绩）满分为600分，第三、第四类考生的综合成绩满分为300分。其中，对于报考我校普通类专业，文化素质测试成绩与职业技能测试成绩占比为1：1，即分别各占300分；报考应急救援技术、消防救援技术专业，文化素质测试成绩与职业技能测试成绩占比为4：6，即文化素质测试成绩和职业技能测试成绩分别为240分、360分。</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我校针对第二类考生组织的文化素质测试为</w:t>
      </w:r>
      <w:r>
        <w:rPr>
          <w:rFonts w:hint="eastAsia" w:ascii="等线" w:hAnsi="等线" w:eastAsia="仿宋" w:cs="仿宋"/>
          <w:color w:val="auto"/>
          <w:sz w:val="28"/>
          <w:szCs w:val="28"/>
          <w:u w:val="none"/>
          <w:lang w:val="en-US" w:eastAsia="zh-CN"/>
        </w:rPr>
        <w:t>机试。</w:t>
      </w:r>
    </w:p>
    <w:p>
      <w:pPr>
        <w:spacing w:line="500" w:lineRule="exact"/>
        <w:ind w:firstLine="560" w:firstLineChars="200"/>
        <w:rPr>
          <w:rFonts w:hint="default" w:ascii="等线" w:hAnsi="等线" w:eastAsia="仿宋" w:cs="仿宋"/>
          <w:b w:val="0"/>
          <w:bCs w:val="0"/>
          <w:color w:val="auto"/>
          <w:sz w:val="28"/>
          <w:szCs w:val="28"/>
          <w:u w:val="none"/>
          <w:lang w:val="en-US" w:eastAsia="zh-CN"/>
        </w:rPr>
      </w:pPr>
      <w:r>
        <w:rPr>
          <w:rFonts w:hint="eastAsia" w:ascii="等线" w:hAnsi="等线" w:eastAsia="仿宋" w:cs="仿宋"/>
          <w:b w:val="0"/>
          <w:bCs w:val="0"/>
          <w:color w:val="auto"/>
          <w:sz w:val="28"/>
          <w:szCs w:val="28"/>
          <w:u w:val="none"/>
          <w:lang w:val="en-US" w:eastAsia="zh-CN"/>
        </w:rPr>
        <w:t>我校组织职业技能测试除应急救援技术、消防救援技术外，均采用机试。应急救援技术、消防救援技术专业职业技能测试按照《湖南安全技术职业学院2024年高职单招考试应急救援技术、消防救援技术专业职业技能测试标准》</w:t>
      </w:r>
      <w:r>
        <w:rPr>
          <w:rFonts w:hint="eastAsia" w:ascii="等线" w:hAnsi="等线" w:eastAsia="仿宋" w:cs="仿宋"/>
          <w:b w:val="0"/>
          <w:bCs w:val="0"/>
          <w:color w:val="auto"/>
          <w:sz w:val="28"/>
          <w:szCs w:val="28"/>
          <w:u w:val="none"/>
          <w:lang w:eastAsia="zh-CN"/>
        </w:rPr>
        <w:t>（</w:t>
      </w:r>
      <w:r>
        <w:rPr>
          <w:rFonts w:hint="eastAsia" w:ascii="等线" w:hAnsi="等线" w:eastAsia="仿宋" w:cs="仿宋"/>
          <w:b w:val="0"/>
          <w:bCs w:val="0"/>
          <w:color w:val="auto"/>
          <w:sz w:val="28"/>
          <w:szCs w:val="28"/>
          <w:u w:val="none"/>
          <w:lang w:val="en-US" w:eastAsia="zh-CN"/>
        </w:rPr>
        <w:t>见附件2</w:t>
      </w:r>
      <w:r>
        <w:rPr>
          <w:rFonts w:hint="eastAsia" w:ascii="等线" w:hAnsi="等线" w:eastAsia="仿宋" w:cs="仿宋"/>
          <w:b w:val="0"/>
          <w:bCs w:val="0"/>
          <w:color w:val="auto"/>
          <w:sz w:val="28"/>
          <w:szCs w:val="28"/>
          <w:u w:val="none"/>
          <w:lang w:eastAsia="zh-CN"/>
        </w:rPr>
        <w:t>）</w:t>
      </w:r>
      <w:r>
        <w:rPr>
          <w:rFonts w:hint="eastAsia" w:ascii="等线" w:hAnsi="等线" w:eastAsia="仿宋" w:cs="仿宋"/>
          <w:b w:val="0"/>
          <w:bCs w:val="0"/>
          <w:color w:val="auto"/>
          <w:sz w:val="28"/>
          <w:szCs w:val="28"/>
          <w:u w:val="none"/>
          <w:lang w:val="en-US" w:eastAsia="zh-CN"/>
        </w:rPr>
        <w:t>。</w:t>
      </w:r>
    </w:p>
    <w:p>
      <w:pPr>
        <w:spacing w:line="500" w:lineRule="exact"/>
        <w:ind w:firstLine="562" w:firstLineChars="200"/>
        <w:rPr>
          <w:rFonts w:hint="default" w:ascii="微软雅黑" w:hAnsi="微软雅黑" w:eastAsia="微软雅黑" w:cs="微软雅黑"/>
          <w:b w:val="0"/>
          <w:bCs w:val="0"/>
          <w:color w:val="auto"/>
          <w:sz w:val="28"/>
          <w:szCs w:val="28"/>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none"/>
          <w:lang w:val="en-US" w:eastAsia="zh-CN"/>
        </w:rPr>
        <w:t>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lang w:val="en-US" w:eastAsia="zh-CN"/>
        </w:rPr>
        <w:t xml:space="preserve">第二十一条 </w:t>
      </w:r>
      <w:r>
        <w:rPr>
          <w:rFonts w:hint="eastAsia" w:ascii="等线" w:hAnsi="等线" w:eastAsia="仿宋" w:cs="仿宋"/>
          <w:color w:val="auto"/>
          <w:sz w:val="28"/>
          <w:szCs w:val="28"/>
          <w:u w:val="none"/>
        </w:rPr>
        <w:t>符合以下免试条件的考生在单招考试前向</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校申请。其中，</w:t>
      </w:r>
      <w:r>
        <w:rPr>
          <w:rFonts w:hint="eastAsia" w:ascii="等线" w:hAnsi="等线" w:eastAsia="仿宋" w:cs="仿宋"/>
          <w:color w:val="auto"/>
          <w:sz w:val="28"/>
          <w:szCs w:val="28"/>
          <w:u w:val="none"/>
          <w:lang w:eastAsia="zh-CN"/>
        </w:rPr>
        <w:t>职业技能特长申请免技能测试的考生，须在</w:t>
      </w:r>
      <w:r>
        <w:rPr>
          <w:rFonts w:hint="eastAsia" w:ascii="等线" w:hAnsi="等线" w:eastAsia="仿宋" w:cs="仿宋"/>
          <w:color w:val="auto"/>
          <w:sz w:val="28"/>
          <w:szCs w:val="28"/>
          <w:u w:val="none"/>
          <w:lang w:val="en-US" w:eastAsia="zh-CN"/>
        </w:rPr>
        <w:t>2024年3月6日前，通过现场递交方式，将相关申请材料（含获奖文件、荣誉证书等证明材料）报我校的 招生就业与创新创业工作处审核。</w:t>
      </w:r>
      <w:r>
        <w:rPr>
          <w:rFonts w:hint="eastAsia" w:ascii="等线" w:hAnsi="等线" w:eastAsia="仿宋" w:cs="仿宋"/>
          <w:color w:val="auto"/>
          <w:sz w:val="28"/>
          <w:szCs w:val="28"/>
          <w:u w:val="none"/>
        </w:rPr>
        <w:t>免试直接录取的考生不占用单招计划数，使用</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微软雅黑" w:hAnsi="微软雅黑" w:eastAsia="微软雅黑" w:cs="微软雅黑"/>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第二十二条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考试。第一志愿考试时间为2024年3月16日-17日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组织第二志愿考试，</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时间为2024年4月13日-14日。</w:t>
      </w:r>
      <w:r>
        <w:rPr>
          <w:rFonts w:hint="eastAsia" w:ascii="等线" w:hAnsi="等线" w:eastAsia="仿宋" w:cs="仿宋"/>
          <w:color w:val="auto"/>
          <w:sz w:val="28"/>
          <w:szCs w:val="28"/>
          <w:lang w:eastAsia="zh-CN"/>
        </w:rPr>
        <w:t>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color w:val="auto"/>
          <w:sz w:val="28"/>
          <w:szCs w:val="28"/>
          <w:lang w:val="en-US" w:eastAsia="zh-CN"/>
        </w:rPr>
        <w:t>根据物价部门统一规定，高职单招的报考费为80元/生。</w:t>
      </w:r>
      <w:r>
        <w:rPr>
          <w:rFonts w:hint="eastAsia" w:ascii="仿宋" w:hAnsi="仿宋" w:eastAsia="仿宋" w:cs="仿宋"/>
          <w:color w:val="auto"/>
          <w:sz w:val="28"/>
          <w:szCs w:val="28"/>
          <w:u w:val="none"/>
          <w:lang w:val="en-US" w:eastAsia="zh-CN"/>
        </w:rPr>
        <w:t>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none"/>
          <w:lang w:val="en-US" w:eastAsia="zh-CN"/>
        </w:rPr>
        <w:t>2024年3月8日9:00-9日16:00，</w:t>
      </w:r>
      <w:r>
        <w:rPr>
          <w:rFonts w:hint="eastAsia" w:ascii="仿宋" w:hAnsi="仿宋" w:eastAsia="仿宋" w:cs="仿宋"/>
          <w:color w:val="auto"/>
          <w:sz w:val="28"/>
          <w:szCs w:val="28"/>
          <w:u w:val="none"/>
        </w:rPr>
        <w:t>缴纳</w:t>
      </w:r>
      <w:r>
        <w:rPr>
          <w:rFonts w:hint="eastAsia" w:ascii="仿宋" w:hAnsi="仿宋" w:eastAsia="仿宋" w:cs="仿宋"/>
          <w:color w:val="auto"/>
          <w:sz w:val="28"/>
          <w:szCs w:val="28"/>
          <w:u w:val="none"/>
          <w:lang w:val="en-US" w:eastAsia="zh-CN"/>
        </w:rPr>
        <w:t>步骤</w:t>
      </w:r>
      <w:r>
        <w:rPr>
          <w:rFonts w:hint="eastAsia" w:ascii="仿宋" w:hAnsi="仿宋"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①登录我校微信公众号（名称：“湖南安全职院”，微信号：hnvist_cn）；</w:t>
      </w:r>
      <w:r>
        <w:rPr>
          <w:rFonts w:hint="eastAsia" w:ascii="仿宋_GB2312" w:hAnsi="仿宋_GB2312" w:eastAsia="仿宋_GB2312" w:cs="仿宋_GB2312"/>
          <w:color w:val="auto"/>
          <w:sz w:val="28"/>
          <w:szCs w:val="28"/>
          <w:u w:val="none"/>
          <w:lang w:val="en-US" w:eastAsia="zh-CN"/>
        </w:rPr>
        <w:t>②选择“</w:t>
      </w:r>
      <w:r>
        <w:rPr>
          <w:rFonts w:hint="eastAsia" w:ascii="等线" w:hAnsi="等线" w:eastAsia="仿宋" w:cs="仿宋"/>
          <w:color w:val="auto"/>
          <w:sz w:val="28"/>
          <w:szCs w:val="28"/>
          <w:u w:val="none"/>
          <w:lang w:val="en-US" w:eastAsia="zh-CN"/>
        </w:rPr>
        <w:t>招生服务”</w:t>
      </w:r>
      <w:r>
        <w:rPr>
          <w:rFonts w:hint="eastAsia" w:ascii="仿宋_GB2312" w:hAnsi="仿宋_GB2312" w:eastAsia="仿宋_GB2312" w:cs="仿宋_GB2312"/>
          <w:color w:val="auto"/>
          <w:sz w:val="28"/>
          <w:szCs w:val="28"/>
          <w:u w:val="none"/>
          <w:lang w:val="en-US" w:eastAsia="zh-CN"/>
        </w:rPr>
        <w:t>菜单；③进入“单招缴费”栏目，按系统提示缴费</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none"/>
          <w:lang w:val="en-US" w:eastAsia="zh-CN"/>
        </w:rPr>
        <w:t xml:space="preserve"> 3 </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none"/>
          <w:lang w:val="en-US" w:eastAsia="zh-CN"/>
        </w:rPr>
        <w:t>14</w:t>
      </w:r>
      <w:r>
        <w:rPr>
          <w:rFonts w:hint="eastAsia" w:ascii="仿宋" w:hAnsi="仿宋" w:eastAsia="仿宋" w:cs="仿宋"/>
          <w:color w:val="auto"/>
          <w:sz w:val="28"/>
          <w:szCs w:val="28"/>
          <w:u w:val="none"/>
          <w:lang w:val="en-US" w:eastAsia="zh-CN"/>
        </w:rPr>
        <w:t>日登录</w:t>
      </w:r>
      <w:r>
        <w:rPr>
          <w:rFonts w:hint="eastAsia" w:ascii="等线" w:hAnsi="等线" w:eastAsia="仿宋" w:cs="仿宋"/>
          <w:color w:val="auto"/>
          <w:sz w:val="28"/>
          <w:szCs w:val="28"/>
          <w:u w:val="none"/>
          <w:lang w:val="en-US" w:eastAsia="zh-CN"/>
        </w:rPr>
        <w:t>我校微信公众号（名称：“湖南安全职院”，微信号：hnvist_cn）,</w:t>
      </w:r>
      <w:r>
        <w:rPr>
          <w:rFonts w:hint="eastAsia" w:ascii="仿宋_GB2312" w:hAnsi="仿宋_GB2312" w:eastAsia="仿宋_GB2312" w:cs="仿宋_GB2312"/>
          <w:color w:val="auto"/>
          <w:sz w:val="28"/>
          <w:szCs w:val="28"/>
          <w:u w:val="none"/>
          <w:lang w:val="en-US" w:eastAsia="zh-CN"/>
        </w:rPr>
        <w:t>选择“</w:t>
      </w:r>
      <w:r>
        <w:rPr>
          <w:rFonts w:hint="eastAsia" w:ascii="等线" w:hAnsi="等线" w:eastAsia="仿宋" w:cs="仿宋"/>
          <w:color w:val="auto"/>
          <w:sz w:val="28"/>
          <w:szCs w:val="28"/>
          <w:u w:val="none"/>
          <w:lang w:val="en-US" w:eastAsia="zh-CN"/>
        </w:rPr>
        <w:t>招生服务”</w:t>
      </w:r>
      <w:r>
        <w:rPr>
          <w:rFonts w:hint="eastAsia" w:ascii="仿宋_GB2312" w:hAnsi="仿宋_GB2312" w:eastAsia="仿宋_GB2312" w:cs="仿宋_GB2312"/>
          <w:color w:val="auto"/>
          <w:sz w:val="28"/>
          <w:szCs w:val="28"/>
          <w:u w:val="none"/>
          <w:lang w:val="en-US" w:eastAsia="zh-CN"/>
        </w:rPr>
        <w:t>菜单,进入“准考证打印”栏目</w:t>
      </w:r>
      <w:r>
        <w:rPr>
          <w:rFonts w:hint="eastAsia" w:ascii="仿宋" w:hAnsi="仿宋" w:eastAsia="仿宋" w:cs="仿宋"/>
          <w:color w:val="auto"/>
          <w:sz w:val="28"/>
          <w:szCs w:val="28"/>
          <w:u w:val="none"/>
          <w:lang w:val="en-US" w:eastAsia="zh-CN"/>
        </w:rPr>
        <w:t>自行打印准考证。</w:t>
      </w:r>
      <w:r>
        <w:rPr>
          <w:rFonts w:hint="eastAsia" w:ascii="等线" w:hAnsi="等线" w:eastAsia="仿宋" w:cs="仿宋"/>
          <w:color w:val="auto"/>
          <w:sz w:val="28"/>
          <w:szCs w:val="28"/>
          <w:u w:val="none"/>
        </w:rPr>
        <w:t>咨询电话：</w:t>
      </w:r>
      <w:r>
        <w:rPr>
          <w:rFonts w:hint="eastAsia" w:ascii="等线" w:hAnsi="等线" w:eastAsia="仿宋" w:cs="仿宋"/>
          <w:color w:val="auto"/>
          <w:sz w:val="28"/>
          <w:szCs w:val="28"/>
          <w:u w:val="none"/>
          <w:lang w:val="en-US" w:eastAsia="zh-CN"/>
        </w:rPr>
        <w:t xml:space="preserve"> 0731-84396555</w:t>
      </w:r>
      <w:r>
        <w:rPr>
          <w:rFonts w:hint="eastAsia" w:ascii="等线" w:hAnsi="等线" w:eastAsia="仿宋" w:cs="仿宋"/>
          <w:color w:val="auto"/>
          <w:sz w:val="28"/>
          <w:szCs w:val="28"/>
          <w:u w:val="none"/>
        </w:rPr>
        <w:t>。</w:t>
      </w:r>
    </w:p>
    <w:p>
      <w:pPr>
        <w:numPr>
          <w:ilvl w:val="0"/>
          <w:numId w:val="0"/>
        </w:numPr>
        <w:spacing w:line="500" w:lineRule="exact"/>
        <w:ind w:firstLine="562" w:firstLineChars="200"/>
        <w:rPr>
          <w:rFonts w:hint="default"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第二十四条</w:t>
      </w:r>
      <w:r>
        <w:rPr>
          <w:rFonts w:hint="eastAsia" w:ascii="等线" w:hAnsi="等线" w:eastAsia="仿宋" w:cs="仿宋"/>
          <w:color w:val="auto"/>
          <w:sz w:val="28"/>
          <w:szCs w:val="28"/>
          <w:lang w:val="en-US" w:eastAsia="zh-CN"/>
        </w:rPr>
        <w:t xml:space="preserve"> 我校单招考试在省教育考试院的指导下，参照国家教育考试规定进行组织。在学校招生工作领导小组的统</w:t>
      </w:r>
      <w:r>
        <w:rPr>
          <w:rFonts w:hint="eastAsia" w:ascii="等线" w:hAnsi="等线" w:eastAsia="仿宋" w:cs="仿宋"/>
          <w:color w:val="auto"/>
          <w:sz w:val="28"/>
          <w:szCs w:val="28"/>
          <w:u w:val="none"/>
          <w:lang w:val="en-US" w:eastAsia="zh-CN"/>
        </w:rPr>
        <w:t>筹下，</w:t>
      </w:r>
      <w:r>
        <w:rPr>
          <w:rFonts w:hint="eastAsia" w:ascii="等线" w:hAnsi="等线" w:eastAsia="仿宋" w:cs="仿宋"/>
          <w:color w:val="auto"/>
          <w:sz w:val="28"/>
          <w:szCs w:val="28"/>
          <w:u w:val="none"/>
        </w:rPr>
        <w:t>由教务处牵头负责</w:t>
      </w:r>
      <w:r>
        <w:rPr>
          <w:rFonts w:hint="eastAsia" w:ascii="等线" w:hAnsi="等线" w:eastAsia="仿宋" w:cs="仿宋"/>
          <w:color w:val="auto"/>
          <w:sz w:val="28"/>
          <w:szCs w:val="28"/>
          <w:u w:val="none"/>
          <w:lang w:val="en-US" w:eastAsia="zh-CN"/>
        </w:rPr>
        <w:t>组考工作。具体负责</w:t>
      </w:r>
      <w:r>
        <w:rPr>
          <w:rFonts w:hint="eastAsia" w:ascii="等线" w:hAnsi="等线" w:eastAsia="仿宋" w:cs="仿宋"/>
          <w:color w:val="auto"/>
          <w:sz w:val="28"/>
          <w:szCs w:val="28"/>
          <w:u w:val="none"/>
        </w:rPr>
        <w:t>命题</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保密工作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按国考要求制定具体的组考方案，根据报考人数合理安排考场并组织有序考试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组织相关专家参照湖南省普通高考评卷及登分工作有关要求</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制定科学合理的评判标准，加大信息公开及结果公示力度，确保考试评判工作公正、透明。</w:t>
      </w:r>
      <w:r>
        <w:rPr>
          <w:rFonts w:hint="eastAsia" w:ascii="等线" w:hAnsi="等线" w:eastAsia="仿宋" w:cs="仿宋"/>
          <w:color w:val="auto"/>
          <w:sz w:val="28"/>
          <w:szCs w:val="28"/>
          <w:u w:val="none"/>
          <w:lang w:val="en-US" w:eastAsia="zh-CN"/>
        </w:rPr>
        <w:t>由招生就业与创新创业工作处负责录取、公示及备案工作。</w:t>
      </w:r>
    </w:p>
    <w:p>
      <w:pPr>
        <w:numPr>
          <w:ilvl w:val="-1"/>
          <w:numId w:val="0"/>
        </w:numPr>
        <w:spacing w:line="500" w:lineRule="exact"/>
        <w:ind w:firstLine="0"/>
        <w:rPr>
          <w:rFonts w:ascii="等线" w:hAnsi="等线" w:eastAsia="仿宋" w:cs="仿宋"/>
          <w:color w:val="auto"/>
          <w:sz w:val="28"/>
          <w:szCs w:val="28"/>
        </w:rPr>
      </w:pP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第二十五条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0" w:firstLineChars="200"/>
        <w:jc w:val="left"/>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文化素质测试或职业技能测试缺考的考生一律不予录取。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单招录取首先对报考单列计划的考生（第三类、第四类、第五类考生）进行录取，单列计划只录取第一志愿报考的考生。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第二十七条 </w:t>
      </w:r>
      <w:r>
        <w:rPr>
          <w:rFonts w:hint="eastAsia" w:ascii="等线" w:hAnsi="等线" w:eastAsia="仿宋" w:cs="仿宋"/>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考生（具有2023年普通高中学业水平合格性考试有效成绩）、</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（含普通高中学业水平合格性考试有效成绩不全的应届普通高中考生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的实际录取计划数。例如，某专业招生计划共100人，单列</w:t>
      </w:r>
      <w:r>
        <w:rPr>
          <w:rFonts w:hint="eastAsia" w:ascii="等线" w:hAnsi="等线" w:eastAsia="仿宋" w:cs="仿宋"/>
          <w:color w:val="auto"/>
          <w:sz w:val="28"/>
          <w:szCs w:val="28"/>
          <w:lang w:eastAsia="zh-CN"/>
        </w:rPr>
        <w:t>计划已</w:t>
      </w:r>
      <w:r>
        <w:rPr>
          <w:rFonts w:hint="eastAsia" w:ascii="等线" w:hAnsi="等线" w:eastAsia="仿宋" w:cs="仿宋"/>
          <w:color w:val="auto"/>
          <w:sz w:val="28"/>
          <w:szCs w:val="28"/>
        </w:rPr>
        <w:t>录取5人，剩余计划95人</w:t>
      </w:r>
      <w:r>
        <w:rPr>
          <w:rFonts w:hint="eastAsia" w:ascii="等线" w:hAnsi="等线" w:eastAsia="仿宋" w:cs="仿宋"/>
          <w:color w:val="auto"/>
          <w:sz w:val="28"/>
          <w:szCs w:val="28"/>
          <w:lang w:eastAsia="zh-CN"/>
        </w:rPr>
        <w:t>录取第一类、第二类学生</w:t>
      </w:r>
      <w:r>
        <w:rPr>
          <w:rFonts w:hint="eastAsia" w:ascii="等线" w:hAnsi="等线" w:eastAsia="仿宋" w:cs="仿宋"/>
          <w:color w:val="auto"/>
          <w:sz w:val="28"/>
          <w:szCs w:val="28"/>
        </w:rPr>
        <w:t>，如</w:t>
      </w:r>
      <w:r>
        <w:rPr>
          <w:rFonts w:hint="eastAsia" w:ascii="等线" w:hAnsi="等线" w:eastAsia="仿宋" w:cs="仿宋"/>
          <w:color w:val="auto"/>
          <w:sz w:val="28"/>
          <w:szCs w:val="28"/>
          <w:lang w:eastAsia="zh-CN"/>
        </w:rPr>
        <w:t>第一类考生</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一志愿</w:t>
      </w:r>
      <w:r>
        <w:rPr>
          <w:rFonts w:hint="eastAsia" w:ascii="等线" w:hAnsi="等线" w:eastAsia="仿宋" w:cs="仿宋"/>
          <w:color w:val="auto"/>
          <w:sz w:val="28"/>
          <w:szCs w:val="28"/>
          <w:lang w:eastAsia="zh-CN"/>
        </w:rPr>
        <w:t>实际参考的人数分别为</w:t>
      </w:r>
      <w:r>
        <w:rPr>
          <w:rFonts w:ascii="等线" w:hAnsi="等线" w:eastAsia="仿宋" w:cs="仿宋"/>
          <w:color w:val="auto"/>
          <w:sz w:val="28"/>
          <w:szCs w:val="28"/>
        </w:rPr>
        <w:t>150</w:t>
      </w:r>
      <w:r>
        <w:rPr>
          <w:rFonts w:hint="eastAsia" w:ascii="等线" w:hAnsi="等线" w:eastAsia="仿宋" w:cs="仿宋"/>
          <w:color w:val="auto"/>
          <w:sz w:val="28"/>
          <w:szCs w:val="28"/>
        </w:rPr>
        <w:t>、</w:t>
      </w:r>
      <w:r>
        <w:rPr>
          <w:rFonts w:ascii="等线" w:hAnsi="等线" w:eastAsia="仿宋" w:cs="仿宋"/>
          <w:color w:val="auto"/>
          <w:sz w:val="28"/>
          <w:szCs w:val="28"/>
        </w:rPr>
        <w:t>50</w:t>
      </w:r>
      <w:r>
        <w:rPr>
          <w:rFonts w:hint="eastAsia" w:ascii="等线" w:hAnsi="等线" w:eastAsia="仿宋" w:cs="仿宋"/>
          <w:color w:val="auto"/>
          <w:sz w:val="28"/>
          <w:szCs w:val="28"/>
        </w:rPr>
        <w:t>人，</w:t>
      </w:r>
      <w:r>
        <w:rPr>
          <w:rFonts w:hint="eastAsia" w:ascii="等线" w:hAnsi="等线" w:eastAsia="仿宋" w:cs="仿宋"/>
          <w:color w:val="auto"/>
          <w:sz w:val="28"/>
          <w:szCs w:val="28"/>
          <w:lang w:eastAsia="zh-CN"/>
        </w:rPr>
        <w:t>根据同比例</w:t>
      </w:r>
      <w:r>
        <w:rPr>
          <w:rFonts w:hint="eastAsia" w:ascii="等线" w:hAnsi="等线" w:eastAsia="仿宋" w:cs="仿宋"/>
          <w:color w:val="auto"/>
          <w:sz w:val="28"/>
          <w:szCs w:val="28"/>
          <w:lang w:val="en-US" w:eastAsia="zh-CN"/>
        </w:rPr>
        <w:t>公式</w:t>
      </w:r>
      <w:r>
        <w:rPr>
          <w:rFonts w:hint="eastAsia" w:ascii="等线" w:hAnsi="等线" w:eastAsia="仿宋" w:cs="仿宋"/>
          <w:color w:val="auto"/>
          <w:sz w:val="28"/>
          <w:szCs w:val="28"/>
          <w:lang w:eastAsia="zh-CN"/>
        </w:rPr>
        <w:t>计算可得第一类、第二类考生的计划数</w:t>
      </w:r>
      <w:r>
        <w:rPr>
          <w:rFonts w:hint="eastAsia" w:ascii="等线" w:hAnsi="等线" w:eastAsia="仿宋" w:cs="仿宋"/>
          <w:color w:val="auto"/>
          <w:sz w:val="28"/>
          <w:szCs w:val="28"/>
        </w:rPr>
        <w:t>为71、24人</w:t>
      </w:r>
      <w:r>
        <w:rPr>
          <w:rFonts w:hint="eastAsia" w:ascii="等线" w:hAnsi="等线" w:eastAsia="仿宋" w:cs="仿宋"/>
          <w:color w:val="auto"/>
          <w:sz w:val="28"/>
          <w:szCs w:val="28"/>
          <w:lang w:eastAsia="zh-CN"/>
        </w:rPr>
        <w:t>。第一类考生计划数计算公式：</w:t>
      </w:r>
      <w:r>
        <w:rPr>
          <w:rFonts w:hint="eastAsia" w:ascii="等线" w:hAnsi="等线" w:eastAsia="仿宋" w:cs="仿宋"/>
          <w:color w:val="auto"/>
          <w:sz w:val="28"/>
          <w:szCs w:val="28"/>
          <w:lang w:val="en-US" w:eastAsia="zh-CN"/>
        </w:rPr>
        <w:t>95/（150+50）</w:t>
      </w:r>
      <w:r>
        <w:rPr>
          <w:rFonts w:hint="eastAsia" w:ascii="汉仪细圆B5" w:hAnsi="汉仪细圆B5" w:eastAsia="汉仪细圆B5" w:cs="汉仪细圆B5"/>
          <w:color w:val="auto"/>
          <w:sz w:val="28"/>
          <w:szCs w:val="28"/>
          <w:lang w:val="en-US" w:eastAsia="zh-CN"/>
        </w:rPr>
        <w:t>×150</w:t>
      </w:r>
      <w:r>
        <w:rPr>
          <w:rFonts w:hint="eastAsia" w:ascii="等线" w:hAnsi="等线" w:eastAsia="仿宋" w:cs="仿宋"/>
          <w:color w:val="auto"/>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第二十八条</w:t>
      </w:r>
      <w:r>
        <w:rPr>
          <w:rFonts w:hint="eastAsia" w:ascii="等线" w:hAnsi="等线" w:eastAsia="仿宋" w:cs="仿宋"/>
          <w:color w:val="auto"/>
          <w:sz w:val="28"/>
          <w:szCs w:val="28"/>
          <w:lang w:val="en-US" w:eastAsia="zh-CN"/>
        </w:rPr>
        <w:t xml:space="preserve"> 单招录取工作按照“学校负责、招办监督”的原则进行。</w:t>
      </w:r>
      <w:r>
        <w:rPr>
          <w:rFonts w:hint="eastAsia" w:ascii="等线" w:hAnsi="等线" w:eastAsia="仿宋" w:cs="仿宋"/>
          <w:color w:val="auto"/>
          <w:sz w:val="28"/>
          <w:szCs w:val="28"/>
          <w:u w:val="none"/>
          <w:lang w:val="en-US" w:eastAsia="zh-CN"/>
        </w:rPr>
        <w:t>各类</w:t>
      </w:r>
      <w:r>
        <w:rPr>
          <w:rFonts w:hint="eastAsia" w:ascii="等线" w:hAnsi="等线" w:eastAsia="仿宋" w:cs="仿宋"/>
          <w:color w:val="auto"/>
          <w:sz w:val="28"/>
          <w:szCs w:val="28"/>
          <w:lang w:val="en-US" w:eastAsia="zh-CN"/>
        </w:rPr>
        <w:t>别按照以下顺序进行。</w:t>
      </w:r>
    </w:p>
    <w:p>
      <w:pPr>
        <w:widowControl/>
        <w:shd w:val="clear" w:color="auto" w:fill="FFFFFF"/>
        <w:spacing w:line="500" w:lineRule="exact"/>
        <w:ind w:firstLine="560" w:firstLineChars="200"/>
        <w:jc w:val="left"/>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考生。</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p>
    <w:p>
      <w:pPr>
        <w:widowControl/>
        <w:shd w:val="clear" w:color="auto" w:fill="FFFFFF"/>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其他社会人员（农民工、下岗失业人员、新型职业农民和企业在岗人员）</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r>
        <w:rPr>
          <w:rFonts w:hint="eastAsia" w:ascii="等线" w:hAnsi="等线" w:eastAsia="仿宋" w:cs="仿宋"/>
          <w:color w:val="auto"/>
          <w:sz w:val="28"/>
          <w:szCs w:val="28"/>
          <w:lang w:eastAsia="zh-CN"/>
        </w:rPr>
        <w:t>。</w:t>
      </w:r>
    </w:p>
    <w:p>
      <w:pPr>
        <w:widowControl/>
        <w:shd w:val="clear" w:color="auto" w:fill="FFFFFF"/>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艺术</w:t>
      </w:r>
      <w:r>
        <w:rPr>
          <w:rFonts w:hint="eastAsia" w:ascii="等线" w:hAnsi="等线" w:eastAsia="仿宋" w:cs="仿宋"/>
          <w:color w:val="auto"/>
          <w:sz w:val="28"/>
          <w:szCs w:val="28"/>
        </w:rPr>
        <w:t>特长生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依据考生所填报项目按</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具体规则</w:t>
      </w:r>
      <w:r>
        <w:rPr>
          <w:rFonts w:hint="eastAsia" w:ascii="等线" w:hAnsi="等线" w:eastAsia="仿宋" w:cs="仿宋"/>
          <w:color w:val="auto"/>
          <w:sz w:val="28"/>
          <w:szCs w:val="28"/>
          <w:lang w:eastAsia="zh-CN"/>
        </w:rPr>
        <w:t>详见《</w:t>
      </w:r>
      <w:r>
        <w:rPr>
          <w:rFonts w:hint="eastAsia" w:ascii="等线" w:hAnsi="等线" w:eastAsia="仿宋" w:cs="仿宋"/>
          <w:strike w:val="0"/>
          <w:dstrike w:val="0"/>
          <w:color w:val="auto"/>
          <w:sz w:val="28"/>
          <w:szCs w:val="28"/>
          <w:u w:val="none"/>
          <w:lang w:val="en-US" w:eastAsia="zh-CN"/>
        </w:rPr>
        <w:t>湖南安全技术职业学院</w:t>
      </w:r>
      <w:r>
        <w:rPr>
          <w:rFonts w:hint="eastAsia" w:ascii="等线" w:hAnsi="等线" w:eastAsia="仿宋" w:cs="仿宋"/>
          <w:strike w:val="0"/>
          <w:dstrike w:val="0"/>
          <w:color w:val="auto"/>
          <w:sz w:val="28"/>
          <w:szCs w:val="28"/>
          <w:u w:val="none"/>
          <w:lang w:eastAsia="zh-CN"/>
        </w:rPr>
        <w:t>学院202</w:t>
      </w:r>
      <w:r>
        <w:rPr>
          <w:rFonts w:hint="eastAsia" w:ascii="等线" w:hAnsi="等线" w:eastAsia="仿宋" w:cs="仿宋"/>
          <w:color w:val="auto"/>
          <w:sz w:val="28"/>
          <w:szCs w:val="28"/>
          <w:lang w:eastAsia="zh-CN"/>
        </w:rPr>
        <w:t>4年艺术特长生高职单招方案》。</w:t>
      </w:r>
    </w:p>
    <w:p>
      <w:pPr>
        <w:widowControl/>
        <w:shd w:val="clear" w:color="auto" w:fill="FFFFFF"/>
        <w:spacing w:line="500" w:lineRule="exact"/>
        <w:ind w:firstLine="560"/>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4.一类考生、二类考生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依次按院校志愿、专业志愿优先原则，按各专业各类别招生计划数，根据考生综合成绩从高分到低分录取，一类考生、二类考生的录取率原则上保持一致。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hint="default"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none"/>
          <w:lang w:val="en-US" w:eastAsia="zh-CN"/>
        </w:rPr>
        <w:t>对于末位同分的考生，依据以下排序原则进行录取。同分排序规则为：文化素质测试成绩、职业技能测试成绩、文化素质中的语文、数学、外语成绩从高到底排序。退役军人考生同分排序规则为：部队立功受奖、军龄从高到低排序。</w:t>
      </w:r>
      <w:r>
        <w:rPr>
          <w:rFonts w:hint="eastAsia" w:ascii="等线" w:hAnsi="等线" w:eastAsia="仿宋" w:cs="仿宋"/>
          <w:color w:val="auto"/>
          <w:sz w:val="28"/>
          <w:szCs w:val="28"/>
        </w:rPr>
        <w:t>其他社会人员</w:t>
      </w:r>
      <w:r>
        <w:rPr>
          <w:rFonts w:hint="eastAsia" w:ascii="等线" w:hAnsi="等线" w:eastAsia="仿宋" w:cs="仿宋"/>
          <w:color w:val="auto"/>
          <w:sz w:val="28"/>
          <w:szCs w:val="28"/>
          <w:u w:val="none"/>
          <w:lang w:val="en-US" w:eastAsia="zh-CN"/>
        </w:rPr>
        <w:t>同分排序规则为：按年龄从高到低排序。如仍相同，则组织末位同分考生重新考试。</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color w:val="auto"/>
          <w:sz w:val="28"/>
          <w:szCs w:val="28"/>
          <w:lang w:val="en-US" w:eastAsia="zh-CN"/>
        </w:rPr>
        <w:t>我校将通过官网</w:t>
      </w:r>
      <w:r>
        <w:rPr>
          <w:rFonts w:hint="eastAsia" w:ascii="等线" w:hAnsi="等线" w:eastAsia="仿宋" w:cs="仿宋"/>
          <w:color w:val="auto"/>
          <w:sz w:val="28"/>
          <w:szCs w:val="28"/>
          <w:u w:val="none"/>
          <w:lang w:val="en-US" w:eastAsia="zh-CN"/>
        </w:rPr>
        <w:t>（http://zs.hnvist.cn）发布单招拟录取名单，拟录取考生需在我校规定时间内办理相关录取确认手续。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w:t>
      </w:r>
      <w:r>
        <w:rPr>
          <w:rFonts w:hint="eastAsia" w:ascii="等线" w:hAnsi="等线" w:eastAsia="仿宋" w:cs="仿宋"/>
          <w:b/>
          <w:bCs/>
          <w:color w:val="auto"/>
          <w:sz w:val="28"/>
          <w:szCs w:val="28"/>
          <w:u w:val="none"/>
          <w:lang w:val="en-US" w:eastAsia="zh-CN"/>
        </w:rPr>
        <w:t>一</w:t>
      </w:r>
      <w:r>
        <w:rPr>
          <w:rFonts w:hint="eastAsia" w:ascii="等线" w:hAnsi="等线" w:eastAsia="仿宋" w:cs="仿宋"/>
          <w:b/>
          <w:bCs/>
          <w:color w:val="auto"/>
          <w:sz w:val="28"/>
          <w:szCs w:val="28"/>
          <w:u w:val="none"/>
          <w:lang w:eastAsia="zh-CN"/>
        </w:rPr>
        <w:t>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color w:val="auto"/>
          <w:sz w:val="28"/>
          <w:szCs w:val="28"/>
          <w:u w:val="none"/>
          <w:lang w:eastAsia="zh-CN"/>
        </w:rPr>
        <w:t>按照我校</w:t>
      </w:r>
      <w:r>
        <w:rPr>
          <w:rFonts w:hint="eastAsia" w:ascii="等线" w:hAnsi="等线" w:eastAsia="仿宋" w:cs="仿宋"/>
          <w:color w:val="auto"/>
          <w:sz w:val="28"/>
          <w:szCs w:val="28"/>
          <w:u w:val="none"/>
        </w:rPr>
        <w:t>《湖南安全技术职业学院学生转专业管理办法（试行）》</w:t>
      </w:r>
      <w:r>
        <w:rPr>
          <w:rFonts w:hint="eastAsia" w:ascii="等线" w:hAnsi="等线" w:eastAsia="仿宋" w:cs="仿宋"/>
          <w:color w:val="auto"/>
          <w:sz w:val="28"/>
          <w:szCs w:val="28"/>
          <w:u w:val="none"/>
          <w:lang w:val="en-US" w:eastAsia="zh-CN"/>
        </w:rPr>
        <w:t>规定，在</w:t>
      </w:r>
      <w:r>
        <w:rPr>
          <w:rFonts w:hint="eastAsia" w:ascii="等线" w:hAnsi="等线" w:eastAsia="仿宋" w:cs="仿宋"/>
          <w:color w:val="auto"/>
          <w:sz w:val="28"/>
          <w:szCs w:val="28"/>
          <w:u w:val="none"/>
        </w:rPr>
        <w:t>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二</w:t>
      </w:r>
      <w:r>
        <w:rPr>
          <w:rFonts w:hint="eastAsia" w:ascii="等线" w:hAnsi="等线" w:eastAsia="仿宋" w:cs="仿宋"/>
          <w:b/>
          <w:bCs/>
          <w:color w:val="auto"/>
          <w:sz w:val="28"/>
          <w:szCs w:val="28"/>
          <w:lang w:eastAsia="zh-CN"/>
        </w:rPr>
        <w:t>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第三十三条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五</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单招期间，确保规范有序、公平公正，</w:t>
      </w:r>
      <w:r>
        <w:rPr>
          <w:rFonts w:hint="eastAsia" w:ascii="等线" w:hAnsi="等线" w:eastAsia="仿宋" w:cs="仿宋"/>
          <w:color w:val="auto"/>
          <w:sz w:val="28"/>
          <w:szCs w:val="28"/>
          <w:lang w:val="en-US" w:eastAsia="zh-CN"/>
        </w:rPr>
        <w:t>在学校纪委全程监督检查下进行</w:t>
      </w:r>
      <w:r>
        <w:rPr>
          <w:rFonts w:hint="eastAsia" w:ascii="等线" w:hAnsi="等线" w:eastAsia="仿宋" w:cs="仿宋"/>
          <w:color w:val="auto"/>
          <w:sz w:val="28"/>
          <w:szCs w:val="28"/>
        </w:rPr>
        <w:t>单招考试、录取</w:t>
      </w:r>
      <w:r>
        <w:rPr>
          <w:rFonts w:hint="eastAsia" w:ascii="等线" w:hAnsi="等线" w:eastAsia="仿宋" w:cs="仿宋"/>
          <w:color w:val="auto"/>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六</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七</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w:t>
      </w:r>
      <w:r>
        <w:rPr>
          <w:rFonts w:hint="eastAsia" w:ascii="等线" w:hAnsi="等线" w:eastAsia="仿宋" w:cs="仿宋"/>
          <w:color w:val="auto"/>
          <w:sz w:val="28"/>
          <w:szCs w:val="28"/>
          <w:u w:val="none"/>
        </w:rPr>
        <w:t>我校的投诉举报电话</w:t>
      </w:r>
      <w:r>
        <w:rPr>
          <w:rFonts w:hint="eastAsia" w:ascii="等线" w:hAnsi="等线" w:eastAsia="仿宋" w:cs="仿宋"/>
          <w:color w:val="auto"/>
          <w:sz w:val="28"/>
          <w:szCs w:val="28"/>
          <w:u w:val="none"/>
          <w:lang w:val="en-US" w:eastAsia="zh-CN"/>
        </w:rPr>
        <w:t>位0731-84396502</w:t>
      </w:r>
      <w:r>
        <w:rPr>
          <w:rFonts w:hint="eastAsia" w:ascii="等线" w:hAnsi="等线" w:eastAsia="仿宋" w:cs="仿宋"/>
          <w:color w:val="auto"/>
          <w:sz w:val="28"/>
          <w:szCs w:val="28"/>
          <w:u w:val="none"/>
        </w:rPr>
        <w:t>。</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w:t>
      </w:r>
      <w:r>
        <w:rPr>
          <w:rFonts w:hint="eastAsia" w:ascii="等线" w:hAnsi="等线" w:eastAsia="仿宋" w:cs="仿宋"/>
          <w:b/>
          <w:bCs/>
          <w:color w:val="auto"/>
          <w:sz w:val="28"/>
          <w:szCs w:val="28"/>
          <w:lang w:val="en-US" w:eastAsia="zh-CN"/>
        </w:rPr>
        <w:t>八</w:t>
      </w:r>
      <w:r>
        <w:rPr>
          <w:rFonts w:hint="eastAsia" w:ascii="等线" w:hAnsi="等线" w:eastAsia="仿宋" w:cs="仿宋"/>
          <w:b/>
          <w:bCs/>
          <w:color w:val="auto"/>
          <w:sz w:val="28"/>
          <w:szCs w:val="28"/>
          <w:lang w:eastAsia="zh-CN"/>
        </w:rPr>
        <w:t>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w:t>
      </w:r>
      <w:r>
        <w:rPr>
          <w:rFonts w:hint="eastAsia" w:ascii="等线" w:hAnsi="等线" w:eastAsia="仿宋" w:cs="仿宋"/>
          <w:b/>
          <w:bCs/>
          <w:color w:val="auto"/>
          <w:sz w:val="28"/>
          <w:szCs w:val="28"/>
          <w:lang w:val="en-US" w:eastAsia="zh-CN"/>
        </w:rPr>
        <w:t>三十九</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w:t>
      </w:r>
      <w:r>
        <w:rPr>
          <w:rFonts w:hint="eastAsia" w:ascii="等线" w:hAnsi="等线" w:eastAsia="仿宋" w:cs="仿宋"/>
          <w:b/>
          <w:bCs/>
          <w:color w:val="auto"/>
          <w:sz w:val="28"/>
          <w:szCs w:val="28"/>
          <w:lang w:val="en-US" w:eastAsia="zh-CN"/>
        </w:rPr>
        <w:t>一</w:t>
      </w:r>
      <w:r>
        <w:rPr>
          <w:rFonts w:hint="eastAsia" w:ascii="等线" w:hAnsi="等线" w:eastAsia="仿宋" w:cs="仿宋"/>
          <w:b/>
          <w:bCs/>
          <w:color w:val="auto"/>
          <w:sz w:val="28"/>
          <w:szCs w:val="28"/>
          <w:lang w:eastAsia="zh-CN"/>
        </w:rPr>
        <w:t>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w:t>
      </w:r>
      <w:r>
        <w:rPr>
          <w:rFonts w:hint="eastAsia" w:ascii="等线" w:hAnsi="等线" w:eastAsia="仿宋" w:cs="仿宋"/>
          <w:b/>
          <w:bCs/>
          <w:color w:val="auto"/>
          <w:sz w:val="28"/>
          <w:szCs w:val="28"/>
          <w:lang w:val="en-US" w:eastAsia="zh-CN"/>
        </w:rPr>
        <w:t>二</w:t>
      </w:r>
      <w:r>
        <w:rPr>
          <w:rFonts w:hint="eastAsia" w:ascii="等线" w:hAnsi="等线" w:eastAsia="仿宋" w:cs="仿宋"/>
          <w:b/>
          <w:bCs/>
          <w:color w:val="auto"/>
          <w:sz w:val="28"/>
          <w:szCs w:val="28"/>
          <w:lang w:eastAsia="zh-CN"/>
        </w:rPr>
        <w:t>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w:t>
      </w:r>
      <w:r>
        <w:rPr>
          <w:rFonts w:hint="eastAsia" w:ascii="等线" w:hAnsi="等线" w:eastAsia="仿宋" w:cs="仿宋"/>
          <w:b/>
          <w:bCs/>
          <w:color w:val="auto"/>
          <w:sz w:val="28"/>
          <w:szCs w:val="28"/>
          <w:lang w:val="en-US" w:eastAsia="zh-CN"/>
        </w:rPr>
        <w:t>三</w:t>
      </w:r>
      <w:r>
        <w:rPr>
          <w:rFonts w:hint="eastAsia" w:ascii="等线" w:hAnsi="等线" w:eastAsia="仿宋" w:cs="仿宋"/>
          <w:b/>
          <w:bCs/>
          <w:color w:val="auto"/>
          <w:sz w:val="28"/>
          <w:szCs w:val="28"/>
          <w:lang w:eastAsia="zh-CN"/>
        </w:rPr>
        <w:t>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2"/>
        <w:ind w:firstLine="560" w:firstLineChars="200"/>
        <w:rPr>
          <w:rFonts w:hint="default"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 xml:space="preserve">通信地址：湖南省长沙市长沙县万家丽北路66号 </w:t>
      </w:r>
    </w:p>
    <w:p>
      <w:pPr>
        <w:pStyle w:val="2"/>
        <w:ind w:firstLine="560" w:firstLineChars="200"/>
        <w:rPr>
          <w:rFonts w:hint="default"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 xml:space="preserve">邮政编码：410151  </w:t>
      </w:r>
    </w:p>
    <w:p>
      <w:pPr>
        <w:pStyle w:val="2"/>
        <w:ind w:firstLine="560" w:firstLineChars="200"/>
        <w:rPr>
          <w:rFonts w:hint="default"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 xml:space="preserve">招生咨询电话： 0731-84396555 </w:t>
      </w:r>
    </w:p>
    <w:p>
      <w:pPr>
        <w:pStyle w:val="2"/>
        <w:ind w:firstLine="560" w:firstLineChars="200"/>
        <w:rPr>
          <w:rFonts w:hint="default"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 xml:space="preserve">招生信息发布网址：zs.hnvist.cn  </w:t>
      </w:r>
    </w:p>
    <w:p>
      <w:pPr>
        <w:ind w:firstLine="562" w:firstLineChars="200"/>
        <w:rPr>
          <w:rFonts w:hint="eastAsia" w:ascii="等线" w:hAnsi="等线" w:eastAsia="仿宋" w:cs="仿宋"/>
          <w:color w:val="auto"/>
          <w:sz w:val="28"/>
          <w:szCs w:val="28"/>
          <w:shd w:val="clear" w:color="auto" w:fill="FFFFFF"/>
          <w:lang w:eastAsia="zh-CN"/>
        </w:rPr>
      </w:pPr>
      <w:r>
        <w:rPr>
          <w:rFonts w:hint="eastAsia" w:ascii="等线" w:hAnsi="等线" w:eastAsia="仿宋" w:cs="仿宋"/>
          <w:b/>
          <w:bCs/>
          <w:color w:val="auto"/>
          <w:kern w:val="2"/>
          <w:sz w:val="28"/>
          <w:szCs w:val="28"/>
          <w:lang w:eastAsia="zh-CN"/>
        </w:rPr>
        <w:t>第四十</w:t>
      </w:r>
      <w:r>
        <w:rPr>
          <w:rFonts w:hint="eastAsia" w:ascii="等线" w:hAnsi="等线" w:eastAsia="仿宋" w:cs="仿宋"/>
          <w:b/>
          <w:bCs/>
          <w:color w:val="auto"/>
          <w:kern w:val="2"/>
          <w:sz w:val="28"/>
          <w:szCs w:val="28"/>
          <w:lang w:val="en-US" w:eastAsia="zh-CN"/>
        </w:rPr>
        <w:t>四</w:t>
      </w:r>
      <w:r>
        <w:rPr>
          <w:rFonts w:hint="eastAsia" w:ascii="等线" w:hAnsi="等线" w:eastAsia="仿宋" w:cs="仿宋"/>
          <w:b/>
          <w:bCs/>
          <w:color w:val="auto"/>
          <w:kern w:val="2"/>
          <w:sz w:val="28"/>
          <w:szCs w:val="28"/>
          <w:lang w:eastAsia="zh-CN"/>
        </w:rPr>
        <w:t>条</w:t>
      </w:r>
      <w:r>
        <w:rPr>
          <w:rFonts w:hint="eastAsia" w:ascii="等线" w:hAnsi="等线" w:eastAsia="仿宋" w:cs="仿宋"/>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w:t>
      </w:r>
      <w:r>
        <w:rPr>
          <w:rFonts w:hint="eastAsia" w:ascii="等线" w:hAnsi="等线" w:eastAsia="仿宋" w:cs="仿宋"/>
          <w:color w:val="auto"/>
          <w:sz w:val="28"/>
          <w:szCs w:val="28"/>
          <w:lang w:val="en-US" w:eastAsia="zh-CN"/>
        </w:rPr>
        <w:t>其</w:t>
      </w:r>
      <w:r>
        <w:rPr>
          <w:rFonts w:hint="eastAsia" w:ascii="等线" w:hAnsi="等线" w:eastAsia="仿宋" w:cs="仿宋"/>
          <w:color w:val="auto"/>
          <w:sz w:val="28"/>
          <w:szCs w:val="28"/>
        </w:rPr>
        <w:t>解释权属于</w:t>
      </w:r>
      <w:r>
        <w:rPr>
          <w:rFonts w:hint="eastAsia" w:ascii="等线" w:hAnsi="等线" w:eastAsia="仿宋" w:cs="仿宋"/>
          <w:color w:val="auto"/>
          <w:sz w:val="28"/>
          <w:szCs w:val="28"/>
          <w:lang w:val="en-US" w:eastAsia="zh-CN"/>
        </w:rPr>
        <w:t>湖南安全技术职业学院。</w:t>
      </w:r>
      <w:r>
        <w:rPr>
          <w:rFonts w:hint="eastAsia" w:ascii="等线" w:hAnsi="等线" w:eastAsia="仿宋" w:cs="仿宋"/>
          <w:color w:val="auto"/>
          <w:sz w:val="28"/>
          <w:szCs w:val="28"/>
          <w:shd w:val="clear" w:color="auto" w:fill="FFFFFF"/>
        </w:rPr>
        <w:t>如遇教育部、湖南省教育厅相关招生政策调整，以公布的最新政策为准</w:t>
      </w:r>
      <w:r>
        <w:rPr>
          <w:rFonts w:hint="eastAsia" w:ascii="等线" w:hAnsi="等线" w:eastAsia="仿宋" w:cs="仿宋"/>
          <w:color w:val="auto"/>
          <w:sz w:val="28"/>
          <w:szCs w:val="28"/>
          <w:shd w:val="clear" w:color="auto" w:fill="FFFFFF"/>
          <w:lang w:eastAsia="zh-CN"/>
        </w:rPr>
        <w:t>。</w:t>
      </w:r>
      <w:bookmarkEnd w:id="0"/>
    </w:p>
    <w:p>
      <w:pPr>
        <w:rPr>
          <w:rFonts w:hint="eastAsia" w:ascii="等线" w:hAnsi="等线" w:eastAsia="仿宋" w:cs="仿宋"/>
          <w:color w:val="auto"/>
          <w:sz w:val="28"/>
          <w:szCs w:val="28"/>
          <w:shd w:val="clear" w:color="auto" w:fill="FFFFFF"/>
          <w:lang w:eastAsia="zh-CN"/>
        </w:rPr>
      </w:pPr>
      <w:r>
        <w:rPr>
          <w:rFonts w:hint="eastAsia" w:ascii="等线" w:hAnsi="等线" w:eastAsia="仿宋" w:cs="仿宋"/>
          <w:color w:val="auto"/>
          <w:sz w:val="28"/>
          <w:szCs w:val="28"/>
          <w:shd w:val="clear" w:color="auto" w:fill="FFFFFF"/>
          <w:lang w:eastAsia="zh-CN"/>
        </w:rPr>
        <w:br w:type="page"/>
      </w:r>
    </w:p>
    <w:p>
      <w:pPr>
        <w:spacing w:line="500" w:lineRule="exact"/>
        <w:rPr>
          <w:rFonts w:hint="default" w:eastAsia="仿宋" w:cs="仿宋"/>
          <w:sz w:val="28"/>
          <w:szCs w:val="28"/>
          <w:lang w:val="en-US" w:eastAsia="zh-CN"/>
        </w:rPr>
      </w:pPr>
      <w:r>
        <w:rPr>
          <w:rFonts w:hint="eastAsia" w:eastAsia="仿宋" w:cs="仿宋"/>
          <w:sz w:val="28"/>
          <w:szCs w:val="28"/>
          <w:lang w:val="en-US" w:eastAsia="zh-CN"/>
        </w:rPr>
        <w:t>附件1：</w:t>
      </w:r>
    </w:p>
    <w:p>
      <w:pPr>
        <w:spacing w:before="156" w:beforeLines="50" w:after="156" w:afterLines="50" w:line="500" w:lineRule="exact"/>
        <w:jc w:val="center"/>
        <w:rPr>
          <w:rFonts w:hint="eastAsia" w:eastAsia="华文中宋" w:cs="华文中宋"/>
          <w:b/>
          <w:bCs/>
          <w:sz w:val="36"/>
          <w:szCs w:val="36"/>
        </w:rPr>
      </w:pPr>
      <w:r>
        <w:rPr>
          <w:rFonts w:hint="eastAsia" w:eastAsia="华文中宋" w:cs="华文中宋"/>
          <w:b/>
          <w:bCs/>
          <w:sz w:val="36"/>
          <w:szCs w:val="36"/>
          <w:u w:val="none"/>
          <w:lang w:val="en-US" w:eastAsia="zh-CN"/>
        </w:rPr>
        <w:t>湖南安全技术职业</w:t>
      </w:r>
      <w:r>
        <w:rPr>
          <w:rFonts w:hint="eastAsia" w:eastAsia="华文中宋" w:cs="华文中宋"/>
          <w:b/>
          <w:bCs/>
          <w:sz w:val="36"/>
          <w:szCs w:val="36"/>
        </w:rPr>
        <w:t>学院</w:t>
      </w:r>
    </w:p>
    <w:p>
      <w:pPr>
        <w:spacing w:before="156" w:beforeLines="50" w:after="156" w:afterLines="50" w:line="500" w:lineRule="exact"/>
        <w:jc w:val="center"/>
        <w:rPr>
          <w:rFonts w:hint="eastAsia" w:eastAsia="华文中宋" w:cs="华文中宋"/>
          <w:b/>
          <w:bCs/>
          <w:sz w:val="36"/>
          <w:szCs w:val="36"/>
        </w:rPr>
      </w:pPr>
      <w:r>
        <w:rPr>
          <w:rFonts w:hint="eastAsia" w:eastAsia="华文中宋" w:cs="华文中宋"/>
          <w:b/>
          <w:bCs/>
          <w:sz w:val="36"/>
          <w:szCs w:val="36"/>
        </w:rPr>
        <w:t>2024年</w:t>
      </w:r>
      <w:r>
        <w:rPr>
          <w:rFonts w:hint="eastAsia" w:eastAsia="华文中宋" w:cs="华文中宋"/>
          <w:b/>
          <w:bCs/>
          <w:sz w:val="36"/>
          <w:szCs w:val="36"/>
          <w:lang w:eastAsia="zh-CN"/>
        </w:rPr>
        <w:t>艺术特长生</w:t>
      </w:r>
      <w:r>
        <w:rPr>
          <w:rFonts w:hint="eastAsia" w:eastAsia="华文中宋" w:cs="华文中宋"/>
          <w:b/>
          <w:bCs/>
          <w:sz w:val="36"/>
          <w:szCs w:val="36"/>
          <w:lang w:val="en-US" w:eastAsia="zh-CN"/>
        </w:rPr>
        <w:t>高职单招</w:t>
      </w:r>
      <w:r>
        <w:rPr>
          <w:rFonts w:hint="eastAsia" w:eastAsia="华文中宋" w:cs="华文中宋"/>
          <w:b/>
          <w:bCs/>
          <w:sz w:val="36"/>
          <w:szCs w:val="36"/>
        </w:rPr>
        <w:t>方案</w:t>
      </w:r>
    </w:p>
    <w:p>
      <w:pPr>
        <w:spacing w:line="500" w:lineRule="exact"/>
        <w:ind w:firstLine="560" w:firstLineChars="200"/>
        <w:rPr>
          <w:rFonts w:eastAsia="仿宋" w:cs="仿宋"/>
          <w:sz w:val="28"/>
          <w:szCs w:val="28"/>
        </w:rPr>
      </w:pPr>
      <w:r>
        <w:rPr>
          <w:rFonts w:hint="eastAsia" w:eastAsia="仿宋" w:cs="仿宋"/>
          <w:sz w:val="28"/>
          <w:szCs w:val="28"/>
        </w:rPr>
        <w:t>为进一步推进我校艺术后备人才的培养，规范特长生的招生工作，根据湖南省教育厅</w:t>
      </w:r>
      <w:r>
        <w:rPr>
          <w:rFonts w:hint="eastAsia" w:ascii="等线" w:hAnsi="等线" w:eastAsia="仿宋" w:cs="仿宋"/>
          <w:sz w:val="28"/>
          <w:szCs w:val="28"/>
        </w:rPr>
        <w:t>《关于做好湖南省2024年高职（高专）院校单独招生工作的通知》（湘教发〔2023〕49号）</w:t>
      </w:r>
      <w:r>
        <w:rPr>
          <w:rFonts w:hint="eastAsia" w:eastAsia="仿宋" w:cs="仿宋"/>
          <w:sz w:val="28"/>
          <w:szCs w:val="28"/>
        </w:rPr>
        <w:t>文件要求，结合学校实际，特制订本招生方案。</w:t>
      </w:r>
    </w:p>
    <w:p>
      <w:pPr>
        <w:widowControl/>
        <w:shd w:val="clear" w:color="auto" w:fill="FFFFFF"/>
        <w:spacing w:before="62" w:beforeLines="20" w:line="500" w:lineRule="exact"/>
        <w:ind w:left="561"/>
        <w:rPr>
          <w:rFonts w:eastAsia="仿宋"/>
          <w:b/>
          <w:bCs/>
          <w:sz w:val="32"/>
          <w:szCs w:val="28"/>
        </w:rPr>
      </w:pPr>
      <w:r>
        <w:rPr>
          <w:rFonts w:hint="eastAsia" w:eastAsia="仿宋"/>
          <w:b/>
          <w:bCs/>
          <w:sz w:val="32"/>
          <w:szCs w:val="28"/>
        </w:rPr>
        <w:t>一、招生项目与计划</w:t>
      </w:r>
    </w:p>
    <w:p>
      <w:pPr>
        <w:spacing w:line="500" w:lineRule="exact"/>
        <w:ind w:firstLine="560" w:firstLineChars="200"/>
        <w:rPr>
          <w:rFonts w:eastAsia="仿宋" w:cs="仿宋"/>
          <w:sz w:val="28"/>
          <w:szCs w:val="28"/>
        </w:rPr>
      </w:pPr>
      <w:r>
        <w:rPr>
          <w:rFonts w:hint="eastAsia" w:eastAsia="仿宋" w:cs="仿宋"/>
          <w:sz w:val="28"/>
          <w:szCs w:val="28"/>
        </w:rPr>
        <w:t>我校</w:t>
      </w:r>
      <w:r>
        <w:rPr>
          <w:rFonts w:hint="eastAsia" w:eastAsia="仿宋" w:cs="仿宋"/>
          <w:sz w:val="28"/>
          <w:szCs w:val="28"/>
          <w:lang w:eastAsia="zh-CN"/>
        </w:rPr>
        <w:t>艺术特长生</w:t>
      </w:r>
      <w:r>
        <w:rPr>
          <w:rFonts w:hint="eastAsia" w:eastAsia="仿宋" w:cs="仿宋"/>
          <w:sz w:val="28"/>
          <w:szCs w:val="28"/>
        </w:rPr>
        <w:t>招生</w:t>
      </w:r>
      <w:r>
        <w:rPr>
          <w:rFonts w:hint="eastAsia" w:eastAsia="仿宋" w:cs="仿宋"/>
          <w:sz w:val="28"/>
          <w:szCs w:val="28"/>
          <w:lang w:val="en-US" w:eastAsia="zh-CN"/>
        </w:rPr>
        <w:t>计划</w:t>
      </w:r>
      <w:r>
        <w:rPr>
          <w:rFonts w:hint="eastAsia" w:eastAsia="仿宋" w:cs="仿宋"/>
          <w:sz w:val="28"/>
          <w:szCs w:val="28"/>
        </w:rPr>
        <w:t>严格按照湖南省教育厅有关规定执行</w:t>
      </w:r>
      <w:r>
        <w:rPr>
          <w:rFonts w:hint="eastAsia" w:eastAsia="仿宋" w:cs="仿宋"/>
          <w:sz w:val="28"/>
          <w:szCs w:val="28"/>
          <w:lang w:eastAsia="zh-CN"/>
        </w:rPr>
        <w:t>，</w:t>
      </w:r>
      <w:r>
        <w:rPr>
          <w:rFonts w:hint="eastAsia" w:eastAsia="仿宋" w:cs="仿宋"/>
          <w:sz w:val="28"/>
          <w:szCs w:val="28"/>
          <w:lang w:val="en-US" w:eastAsia="zh-CN"/>
        </w:rPr>
        <w:t>计划总数</w:t>
      </w:r>
      <w:r>
        <w:rPr>
          <w:rFonts w:hint="eastAsia" w:ascii="等线" w:hAnsi="等线" w:eastAsia="仿宋" w:cs="仿宋"/>
          <w:sz w:val="28"/>
          <w:szCs w:val="28"/>
          <w:u w:val="none"/>
          <w:lang w:val="en-US" w:eastAsia="zh-CN"/>
        </w:rPr>
        <w:t>21人</w:t>
      </w:r>
      <w:r>
        <w:rPr>
          <w:rFonts w:hint="eastAsia" w:eastAsia="仿宋" w:cs="仿宋"/>
          <w:sz w:val="28"/>
          <w:szCs w:val="28"/>
        </w:rPr>
        <w:t>。具体各项目计划如下：</w:t>
      </w:r>
    </w:p>
    <w:tbl>
      <w:tblPr>
        <w:tblStyle w:val="13"/>
        <w:tblW w:w="5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18"/>
        <w:gridCol w:w="177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宋体"/>
                <w:b/>
                <w:bCs/>
                <w:kern w:val="0"/>
                <w:szCs w:val="28"/>
                <w:lang w:val="en-US" w:eastAsia="zh-CN"/>
              </w:rPr>
            </w:pPr>
            <w:r>
              <w:rPr>
                <w:rFonts w:hint="eastAsia" w:eastAsia="宋体" w:cs="宋体"/>
                <w:b/>
                <w:bCs/>
                <w:kern w:val="0"/>
                <w:szCs w:val="28"/>
                <w:lang w:val="en-US" w:eastAsia="zh-CN"/>
              </w:rPr>
              <w:t>类别</w:t>
            </w: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b/>
                <w:bCs/>
                <w:kern w:val="0"/>
                <w:szCs w:val="28"/>
                <w:lang w:val="en-US" w:eastAsia="zh-CN"/>
              </w:rPr>
            </w:pPr>
            <w:r>
              <w:rPr>
                <w:rFonts w:hint="eastAsia" w:eastAsia="宋体" w:cstheme="minorEastAsia"/>
                <w:b/>
                <w:bCs/>
                <w:kern w:val="0"/>
                <w:szCs w:val="28"/>
                <w:lang w:val="en-US" w:eastAsia="zh-CN"/>
              </w:rPr>
              <w:t>项目</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b/>
                <w:bCs/>
                <w:kern w:val="0"/>
                <w:szCs w:val="28"/>
                <w:lang w:val="en-US" w:eastAsia="zh-CN"/>
              </w:rPr>
            </w:pPr>
            <w:r>
              <w:rPr>
                <w:rFonts w:hint="eastAsia" w:eastAsia="宋体" w:cstheme="minorEastAsia"/>
                <w:b/>
                <w:bCs/>
                <w:kern w:val="0"/>
                <w:szCs w:val="28"/>
                <w:lang w:val="en-US" w:eastAsia="zh-CN"/>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exact"/>
          <w:jc w:val="center"/>
        </w:trPr>
        <w:tc>
          <w:tcPr>
            <w:tcW w:w="1718" w:type="dxa"/>
            <w:vMerge w:val="restart"/>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kern w:val="0"/>
                <w:szCs w:val="28"/>
                <w:lang w:eastAsia="zh-CN"/>
              </w:rPr>
            </w:pPr>
            <w:r>
              <w:rPr>
                <w:rFonts w:hint="eastAsia" w:eastAsia="宋体" w:cstheme="minorEastAsia"/>
                <w:kern w:val="0"/>
                <w:szCs w:val="28"/>
                <w:lang w:eastAsia="zh-CN"/>
              </w:rPr>
              <w:t>艺术特长生</w:t>
            </w: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eastAsia="zh-CN"/>
              </w:rPr>
              <w:t>音乐类</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kern w:val="0"/>
                <w:szCs w:val="28"/>
                <w:lang w:eastAsia="zh-CN"/>
              </w:rPr>
            </w:pPr>
            <w:r>
              <w:rPr>
                <w:rFonts w:hint="eastAsia" w:eastAsia="宋体" w:cstheme="minorEastAsia"/>
                <w:kern w:val="0"/>
                <w:szCs w:val="28"/>
                <w:lang w:eastAsia="zh-CN"/>
              </w:rPr>
              <w:t>舞蹈类</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播音主持类</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kern w:val="0"/>
                <w:szCs w:val="28"/>
                <w:lang w:val="en-US" w:eastAsia="zh-CN"/>
              </w:rPr>
            </w:pPr>
            <w:r>
              <w:rPr>
                <w:rFonts w:hint="eastAsia" w:eastAsia="宋体" w:cstheme="minorEastAsia"/>
                <w:kern w:val="0"/>
                <w:szCs w:val="28"/>
                <w:lang w:eastAsia="zh-CN"/>
              </w:rPr>
              <w:t>美术与设计类</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exact"/>
          <w:jc w:val="center"/>
        </w:trPr>
        <w:tc>
          <w:tcPr>
            <w:tcW w:w="3496" w:type="dxa"/>
            <w:gridSpan w:val="2"/>
            <w:shd w:val="clear" w:color="auto" w:fill="FFFFFF"/>
            <w:vAlign w:val="center"/>
          </w:tcPr>
          <w:p>
            <w:pPr>
              <w:widowControl/>
              <w:spacing w:line="240" w:lineRule="atLeast"/>
              <w:jc w:val="center"/>
              <w:rPr>
                <w:rFonts w:eastAsia="宋体" w:cstheme="minorEastAsia"/>
                <w:kern w:val="0"/>
                <w:szCs w:val="28"/>
              </w:rPr>
            </w:pPr>
            <w:r>
              <w:rPr>
                <w:rFonts w:hint="eastAsia" w:eastAsia="宋体" w:cstheme="minorEastAsia"/>
                <w:kern w:val="0"/>
                <w:szCs w:val="28"/>
              </w:rPr>
              <w:t>合</w:t>
            </w:r>
            <w:r>
              <w:rPr>
                <w:rFonts w:hint="eastAsia" w:eastAsia="宋体" w:cstheme="minorEastAsia"/>
                <w:kern w:val="0"/>
                <w:szCs w:val="28"/>
                <w:lang w:val="en-US" w:eastAsia="zh-CN"/>
              </w:rPr>
              <w:t xml:space="preserve">  </w:t>
            </w:r>
            <w:r>
              <w:rPr>
                <w:rFonts w:hint="eastAsia" w:eastAsia="宋体" w:cstheme="minorEastAsia"/>
                <w:kern w:val="0"/>
                <w:szCs w:val="28"/>
              </w:rPr>
              <w:t>计</w:t>
            </w:r>
          </w:p>
        </w:tc>
        <w:tc>
          <w:tcPr>
            <w:tcW w:w="2019" w:type="dxa"/>
            <w:shd w:val="clear" w:color="auto" w:fill="FFFFFF"/>
            <w:vAlign w:val="center"/>
          </w:tcPr>
          <w:p>
            <w:pPr>
              <w:widowControl/>
              <w:spacing w:line="240" w:lineRule="atLeast"/>
              <w:jc w:val="center"/>
              <w:rPr>
                <w:rFonts w:hint="default" w:eastAsia="宋体" w:cstheme="minorEastAsia"/>
                <w:kern w:val="0"/>
                <w:szCs w:val="28"/>
                <w:lang w:val="en-US" w:eastAsia="zh-CN"/>
              </w:rPr>
            </w:pPr>
            <w:r>
              <w:rPr>
                <w:rFonts w:hint="eastAsia" w:eastAsia="宋体" w:cstheme="minorEastAsia"/>
                <w:kern w:val="0"/>
                <w:szCs w:val="28"/>
                <w:lang w:val="en-US" w:eastAsia="zh-CN"/>
              </w:rPr>
              <w:t>21</w:t>
            </w:r>
          </w:p>
        </w:tc>
      </w:tr>
    </w:tbl>
    <w:p>
      <w:pPr>
        <w:widowControl/>
        <w:shd w:val="clear" w:color="auto" w:fill="FFFFFF"/>
        <w:spacing w:before="62" w:beforeLines="20" w:line="500" w:lineRule="exact"/>
        <w:ind w:left="561"/>
        <w:rPr>
          <w:rFonts w:eastAsia="仿宋"/>
          <w:b/>
          <w:bCs/>
          <w:sz w:val="32"/>
          <w:szCs w:val="28"/>
        </w:rPr>
      </w:pPr>
      <w:r>
        <w:rPr>
          <w:rFonts w:hint="eastAsia" w:eastAsia="仿宋"/>
          <w:b/>
          <w:bCs/>
          <w:sz w:val="32"/>
          <w:szCs w:val="28"/>
        </w:rPr>
        <w:t>二、报考条件</w:t>
      </w:r>
    </w:p>
    <w:p>
      <w:pPr>
        <w:spacing w:line="500" w:lineRule="exact"/>
        <w:ind w:firstLine="560" w:firstLineChars="200"/>
        <w:rPr>
          <w:rFonts w:hint="eastAsia" w:eastAsia="仿宋" w:cs="仿宋"/>
          <w:sz w:val="28"/>
          <w:szCs w:val="28"/>
        </w:rPr>
      </w:pPr>
      <w:r>
        <w:rPr>
          <w:rFonts w:hint="eastAsia" w:eastAsia="仿宋" w:cs="仿宋"/>
          <w:sz w:val="28"/>
          <w:szCs w:val="28"/>
          <w:lang w:val="en-US" w:eastAsia="zh-CN"/>
        </w:rPr>
        <w:t>1.</w:t>
      </w:r>
      <w:r>
        <w:rPr>
          <w:rFonts w:hint="eastAsia" w:eastAsia="仿宋" w:cs="仿宋"/>
          <w:sz w:val="28"/>
          <w:szCs w:val="28"/>
        </w:rPr>
        <w:t>符合我省2024年普通高考（含对口招生考试）报名条件并已参加高考报名；</w:t>
      </w:r>
    </w:p>
    <w:p>
      <w:pPr>
        <w:spacing w:line="50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2.参加湖南省2024年艺术类专业省级统考并达到合格线以上考生。</w:t>
      </w:r>
    </w:p>
    <w:p>
      <w:pPr>
        <w:spacing w:line="50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3.所获成绩限于报所对应的专业项目。</w:t>
      </w:r>
    </w:p>
    <w:p>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default" w:ascii="仿宋" w:hAnsi="仿宋" w:eastAsia="仿宋" w:cs="仿宋"/>
          <w:sz w:val="30"/>
          <w:szCs w:val="30"/>
          <w:lang w:val="en-US" w:eastAsia="zh-CN"/>
        </w:rPr>
      </w:pPr>
      <w:r>
        <w:rPr>
          <w:rFonts w:hint="eastAsia" w:eastAsia="仿宋" w:cs="仿宋"/>
          <w:sz w:val="28"/>
          <w:szCs w:val="28"/>
          <w:lang w:val="en-US" w:eastAsia="zh-CN"/>
        </w:rPr>
        <w:t>4.</w:t>
      </w:r>
      <w:r>
        <w:rPr>
          <w:rFonts w:hint="eastAsia" w:ascii="仿宋" w:hAnsi="仿宋" w:eastAsia="仿宋" w:cs="仿宋"/>
          <w:sz w:val="30"/>
          <w:szCs w:val="30"/>
          <w:lang w:val="en-US" w:eastAsia="zh-CN"/>
        </w:rPr>
        <w:t>播音与主持类考生，</w:t>
      </w:r>
      <w:r>
        <w:rPr>
          <w:rFonts w:hint="default" w:ascii="仿宋" w:hAnsi="仿宋" w:eastAsia="仿宋" w:cs="仿宋"/>
          <w:sz w:val="30"/>
          <w:szCs w:val="30"/>
          <w:lang w:val="en-US" w:eastAsia="zh-CN"/>
        </w:rPr>
        <w:t>女生身高不低于1.6</w:t>
      </w:r>
      <w:r>
        <w:rPr>
          <w:rFonts w:hint="eastAsia" w:ascii="仿宋" w:hAnsi="仿宋" w:eastAsia="仿宋" w:cs="仿宋"/>
          <w:sz w:val="30"/>
          <w:szCs w:val="30"/>
          <w:lang w:val="en-US" w:eastAsia="zh-CN"/>
        </w:rPr>
        <w:t>0</w:t>
      </w:r>
      <w:r>
        <w:rPr>
          <w:rFonts w:hint="default" w:ascii="仿宋" w:hAnsi="仿宋" w:eastAsia="仿宋" w:cs="仿宋"/>
          <w:sz w:val="30"/>
          <w:szCs w:val="30"/>
          <w:lang w:val="en-US" w:eastAsia="zh-CN"/>
        </w:rPr>
        <w:t>米，男生身高不低于1.7</w:t>
      </w:r>
      <w:r>
        <w:rPr>
          <w:rFonts w:hint="eastAsia" w:ascii="仿宋" w:hAnsi="仿宋" w:eastAsia="仿宋" w:cs="仿宋"/>
          <w:sz w:val="30"/>
          <w:szCs w:val="30"/>
          <w:lang w:val="en-US" w:eastAsia="zh-CN"/>
        </w:rPr>
        <w:t>0</w:t>
      </w:r>
      <w:r>
        <w:rPr>
          <w:rFonts w:hint="default" w:ascii="仿宋" w:hAnsi="仿宋" w:eastAsia="仿宋" w:cs="仿宋"/>
          <w:sz w:val="30"/>
          <w:szCs w:val="30"/>
          <w:lang w:val="en-US" w:eastAsia="zh-CN"/>
        </w:rPr>
        <w:t>米</w:t>
      </w:r>
      <w:r>
        <w:rPr>
          <w:rFonts w:hint="eastAsia" w:ascii="仿宋" w:hAnsi="仿宋" w:eastAsia="仿宋" w:cs="仿宋"/>
          <w:sz w:val="30"/>
          <w:szCs w:val="30"/>
          <w:lang w:val="en-US" w:eastAsia="zh-CN"/>
        </w:rPr>
        <w:t>。</w:t>
      </w:r>
    </w:p>
    <w:p>
      <w:pPr>
        <w:widowControl/>
        <w:shd w:val="clear" w:color="auto" w:fill="FFFFFF"/>
        <w:spacing w:before="62" w:beforeLines="20" w:line="500" w:lineRule="exact"/>
        <w:ind w:left="561"/>
        <w:rPr>
          <w:rFonts w:eastAsia="仿宋"/>
          <w:b/>
          <w:bCs/>
          <w:sz w:val="32"/>
          <w:szCs w:val="28"/>
        </w:rPr>
      </w:pPr>
      <w:r>
        <w:rPr>
          <w:rFonts w:hint="eastAsia" w:eastAsia="仿宋"/>
          <w:b/>
          <w:bCs/>
          <w:sz w:val="32"/>
          <w:szCs w:val="28"/>
        </w:rPr>
        <w:t>三、报</w:t>
      </w:r>
      <w:r>
        <w:rPr>
          <w:rFonts w:hint="eastAsia" w:eastAsia="仿宋"/>
          <w:b/>
          <w:bCs/>
          <w:sz w:val="32"/>
          <w:szCs w:val="28"/>
          <w:lang w:val="en-US" w:eastAsia="zh-CN"/>
        </w:rPr>
        <w:t>考</w:t>
      </w:r>
      <w:r>
        <w:rPr>
          <w:rFonts w:hint="eastAsia" w:eastAsia="仿宋"/>
          <w:b/>
          <w:bCs/>
          <w:sz w:val="32"/>
          <w:szCs w:val="28"/>
        </w:rPr>
        <w:t>流程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lang w:val="en-US" w:eastAsia="zh-CN"/>
        </w:rPr>
        <w:t>.</w:t>
      </w:r>
      <w:r>
        <w:rPr>
          <w:rFonts w:hint="eastAsia" w:ascii="仿宋" w:hAnsi="仿宋" w:eastAsia="仿宋" w:cs="仿宋"/>
          <w:sz w:val="28"/>
          <w:szCs w:val="28"/>
          <w:lang w:val="en-US" w:eastAsia="zh-CN"/>
        </w:rPr>
        <w:t>参加</w:t>
      </w:r>
      <w:r>
        <w:rPr>
          <w:rFonts w:hint="eastAsia" w:ascii="仿宋" w:hAnsi="仿宋" w:eastAsia="仿宋" w:cs="仿宋"/>
          <w:sz w:val="28"/>
          <w:szCs w:val="28"/>
        </w:rPr>
        <w:t>全省单招统一报考。</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kern w:val="0"/>
          <w:sz w:val="28"/>
          <w:lang w:val="en-US" w:eastAsia="zh-CN"/>
        </w:rPr>
        <w:t>.</w:t>
      </w:r>
      <w:r>
        <w:rPr>
          <w:rFonts w:hint="eastAsia" w:ascii="仿宋" w:hAnsi="仿宋" w:eastAsia="仿宋" w:cs="仿宋"/>
          <w:sz w:val="28"/>
          <w:szCs w:val="28"/>
        </w:rPr>
        <w:t>报</w:t>
      </w:r>
      <w:r>
        <w:rPr>
          <w:rFonts w:hint="eastAsia" w:ascii="仿宋" w:hAnsi="仿宋" w:eastAsia="仿宋" w:cs="仿宋"/>
          <w:sz w:val="28"/>
          <w:szCs w:val="28"/>
          <w:lang w:val="en-US" w:eastAsia="zh-CN"/>
        </w:rPr>
        <w:t>考</w:t>
      </w:r>
      <w:r>
        <w:rPr>
          <w:rFonts w:hint="eastAsia" w:ascii="仿宋" w:hAnsi="仿宋" w:eastAsia="仿宋" w:cs="仿宋"/>
          <w:sz w:val="28"/>
          <w:szCs w:val="28"/>
        </w:rPr>
        <w:t>时间：2024年2月27日－3月5日</w:t>
      </w:r>
      <w:r>
        <w:rPr>
          <w:rFonts w:hint="eastAsia" w:ascii="仿宋" w:hAnsi="仿宋" w:eastAsia="仿宋" w:cs="仿宋"/>
          <w:sz w:val="28"/>
          <w:szCs w:val="28"/>
          <w:lang w:eastAsia="zh-CN"/>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lang w:val="en-US" w:eastAsia="zh-CN"/>
        </w:rPr>
        <w:t>.</w:t>
      </w:r>
      <w:r>
        <w:rPr>
          <w:rFonts w:hint="eastAsia" w:ascii="仿宋" w:hAnsi="仿宋" w:eastAsia="仿宋" w:cs="仿宋"/>
          <w:sz w:val="28"/>
          <w:szCs w:val="28"/>
        </w:rPr>
        <w:t>按学院202</w:t>
      </w:r>
      <w:r>
        <w:rPr>
          <w:rFonts w:hint="eastAsia" w:ascii="仿宋" w:hAnsi="仿宋" w:eastAsia="仿宋" w:cs="仿宋"/>
          <w:sz w:val="28"/>
          <w:szCs w:val="28"/>
          <w:lang w:val="en-US" w:eastAsia="zh-CN"/>
        </w:rPr>
        <w:t>4</w:t>
      </w:r>
      <w:r>
        <w:rPr>
          <w:rFonts w:hint="eastAsia" w:ascii="仿宋" w:hAnsi="仿宋" w:eastAsia="仿宋" w:cs="仿宋"/>
          <w:sz w:val="28"/>
          <w:szCs w:val="28"/>
        </w:rPr>
        <w:t>年单招章程要求，在规定的时间内报名、缴费、打印准考证。</w:t>
      </w:r>
    </w:p>
    <w:p>
      <w:pPr>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lang w:val="en-US" w:eastAsia="zh-CN"/>
        </w:rPr>
        <w:t>4</w:t>
      </w:r>
      <w:r>
        <w:rPr>
          <w:rFonts w:hint="eastAsia" w:ascii="仿宋" w:hAnsi="仿宋" w:eastAsia="仿宋" w:cs="仿宋"/>
          <w:kern w:val="0"/>
          <w:sz w:val="28"/>
          <w:lang w:val="en-US" w:eastAsia="zh-CN"/>
        </w:rPr>
        <w:t>.</w:t>
      </w:r>
      <w:r>
        <w:rPr>
          <w:rFonts w:hint="eastAsia" w:ascii="仿宋" w:hAnsi="仿宋" w:eastAsia="仿宋" w:cs="仿宋"/>
          <w:sz w:val="28"/>
          <w:szCs w:val="28"/>
        </w:rPr>
        <w:t>测试内容及标准。</w:t>
      </w:r>
      <w:r>
        <w:rPr>
          <w:rFonts w:hint="eastAsia" w:ascii="仿宋" w:hAnsi="仿宋" w:eastAsia="仿宋" w:cs="仿宋"/>
          <w:sz w:val="28"/>
          <w:szCs w:val="28"/>
          <w:lang w:val="en-US" w:eastAsia="zh-CN"/>
        </w:rPr>
        <w:t>根据招生</w:t>
      </w:r>
      <w:r>
        <w:rPr>
          <w:rFonts w:hint="eastAsia" w:ascii="仿宋" w:hAnsi="仿宋" w:eastAsia="仿宋" w:cs="仿宋"/>
          <w:sz w:val="28"/>
          <w:szCs w:val="28"/>
        </w:rPr>
        <w:t>项目分别组织专项测试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各专项测试</w:t>
      </w:r>
      <w:r>
        <w:rPr>
          <w:rFonts w:hint="eastAsia" w:ascii="仿宋" w:hAnsi="仿宋" w:eastAsia="仿宋" w:cs="仿宋"/>
          <w:sz w:val="28"/>
          <w:szCs w:val="28"/>
        </w:rPr>
        <w:t>内容及标准</w:t>
      </w:r>
      <w:r>
        <w:rPr>
          <w:rFonts w:hint="eastAsia" w:ascii="仿宋" w:hAnsi="仿宋" w:eastAsia="仿宋" w:cs="仿宋"/>
          <w:sz w:val="28"/>
          <w:szCs w:val="28"/>
          <w:lang w:eastAsia="zh-CN"/>
        </w:rPr>
        <w:t>另行公布。</w:t>
      </w:r>
    </w:p>
    <w:p>
      <w:pPr>
        <w:widowControl/>
        <w:shd w:val="clear" w:color="auto" w:fill="FFFFFF"/>
        <w:spacing w:before="62" w:beforeLines="20" w:line="500" w:lineRule="exact"/>
        <w:ind w:left="561"/>
        <w:rPr>
          <w:rFonts w:eastAsia="仿宋"/>
          <w:b/>
          <w:bCs/>
          <w:sz w:val="32"/>
          <w:szCs w:val="28"/>
        </w:rPr>
      </w:pPr>
      <w:r>
        <w:rPr>
          <w:rFonts w:hint="eastAsia" w:eastAsia="仿宋"/>
          <w:b/>
          <w:bCs/>
          <w:sz w:val="32"/>
          <w:szCs w:val="28"/>
        </w:rPr>
        <w:t>四、资格审查</w:t>
      </w:r>
    </w:p>
    <w:p>
      <w:pPr>
        <w:spacing w:line="500" w:lineRule="exact"/>
        <w:ind w:firstLine="560" w:firstLineChars="200"/>
        <w:rPr>
          <w:rFonts w:hint="eastAsia" w:ascii="微软雅黑" w:hAnsi="微软雅黑" w:eastAsia="微软雅黑" w:cs="微软雅黑"/>
          <w:b w:val="0"/>
          <w:bCs w:val="0"/>
          <w:color w:val="FF0000"/>
          <w:sz w:val="28"/>
          <w:szCs w:val="28"/>
          <w:u w:val="none"/>
          <w:lang w:val="en-US" w:eastAsia="zh-CN"/>
        </w:rPr>
      </w:pPr>
      <w:r>
        <w:rPr>
          <w:rFonts w:hint="eastAsia" w:eastAsia="仿宋" w:cs="仿宋"/>
          <w:sz w:val="28"/>
          <w:szCs w:val="28"/>
          <w:u w:val="none"/>
          <w:lang w:val="en-US" w:eastAsia="zh-CN"/>
        </w:rPr>
        <w:t>学生在2024年3月6日前，将参加湖南省2024年艺术类专业省级统考成绩证明材料，通过现场提交方式，提交至我校招生就业与创新创业工作 处进行审核。审核通过后方可取得艺术特长生报考资格，未通过的考生只能报考我校普通类别单招。</w:t>
      </w:r>
    </w:p>
    <w:p>
      <w:pPr>
        <w:widowControl/>
        <w:shd w:val="clear" w:color="auto" w:fill="FFFFFF"/>
        <w:spacing w:before="62" w:beforeLines="20" w:line="500" w:lineRule="exact"/>
        <w:ind w:left="561"/>
        <w:rPr>
          <w:rFonts w:eastAsia="仿宋"/>
          <w:b/>
          <w:bCs/>
          <w:sz w:val="32"/>
          <w:szCs w:val="28"/>
          <w:u w:val="none"/>
        </w:rPr>
      </w:pPr>
      <w:r>
        <w:rPr>
          <w:rFonts w:hint="eastAsia" w:eastAsia="仿宋"/>
          <w:b/>
          <w:bCs/>
          <w:sz w:val="32"/>
          <w:szCs w:val="28"/>
          <w:u w:val="none"/>
          <w:lang w:val="en-US" w:eastAsia="zh-CN"/>
        </w:rPr>
        <w:t>五</w:t>
      </w:r>
      <w:r>
        <w:rPr>
          <w:rFonts w:hint="eastAsia" w:eastAsia="仿宋"/>
          <w:b/>
          <w:bCs/>
          <w:sz w:val="32"/>
          <w:szCs w:val="28"/>
          <w:u w:val="none"/>
        </w:rPr>
        <w:t>、合格考生名单确定与公示</w:t>
      </w:r>
    </w:p>
    <w:p>
      <w:pPr>
        <w:widowControl/>
        <w:shd w:val="clear" w:color="auto" w:fill="FFFFFF"/>
        <w:spacing w:before="62" w:beforeLines="20"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kern w:val="0"/>
          <w:sz w:val="28"/>
          <w:lang w:val="en-US" w:eastAsia="zh-CN"/>
        </w:rPr>
        <w:t>.</w:t>
      </w:r>
      <w:r>
        <w:rPr>
          <w:rFonts w:hint="eastAsia" w:ascii="仿宋" w:hAnsi="仿宋" w:eastAsia="仿宋" w:cs="仿宋"/>
          <w:sz w:val="28"/>
          <w:szCs w:val="28"/>
          <w:lang w:eastAsia="zh-CN"/>
        </w:rPr>
        <w:t>我院将根据</w:t>
      </w:r>
      <w:r>
        <w:rPr>
          <w:rFonts w:hint="eastAsia" w:ascii="仿宋" w:hAnsi="仿宋" w:eastAsia="仿宋" w:cs="仿宋"/>
          <w:sz w:val="28"/>
          <w:szCs w:val="28"/>
          <w:lang w:val="en-US" w:eastAsia="zh-CN"/>
        </w:rPr>
        <w:t>各项目</w:t>
      </w:r>
      <w:r>
        <w:rPr>
          <w:rFonts w:hint="eastAsia" w:ascii="仿宋" w:hAnsi="仿宋" w:eastAsia="仿宋" w:cs="仿宋"/>
          <w:sz w:val="28"/>
          <w:szCs w:val="28"/>
          <w:u w:val="none"/>
          <w:lang w:eastAsia="zh-CN"/>
        </w:rPr>
        <w:t>计划数</w:t>
      </w:r>
      <w:r>
        <w:rPr>
          <w:rFonts w:hint="eastAsia" w:ascii="仿宋" w:hAnsi="仿宋" w:eastAsia="仿宋" w:cs="仿宋"/>
          <w:sz w:val="28"/>
          <w:szCs w:val="28"/>
          <w:u w:val="none"/>
          <w:lang w:val="en-US" w:eastAsia="zh-CN"/>
        </w:rPr>
        <w:t>及专项测试的整体成绩，确定各专项测试合格标准，取得合格资</w:t>
      </w:r>
      <w:r>
        <w:rPr>
          <w:rFonts w:hint="eastAsia" w:ascii="仿宋" w:hAnsi="仿宋" w:eastAsia="仿宋" w:cs="仿宋"/>
          <w:sz w:val="28"/>
          <w:szCs w:val="28"/>
          <w:lang w:val="en-US" w:eastAsia="zh-CN"/>
        </w:rPr>
        <w:t>格的考生参与后续录取，未取得合格资格的考生不能录取到特长生。</w:t>
      </w:r>
    </w:p>
    <w:p>
      <w:pPr>
        <w:widowControl/>
        <w:shd w:val="clear" w:color="auto" w:fill="FFFFFF"/>
        <w:spacing w:before="62" w:beforeLines="20"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kern w:val="0"/>
          <w:sz w:val="28"/>
          <w:lang w:val="en-US" w:eastAsia="zh-CN"/>
        </w:rPr>
        <w:t>.</w:t>
      </w:r>
      <w:r>
        <w:rPr>
          <w:rFonts w:hint="eastAsia" w:ascii="仿宋" w:hAnsi="仿宋" w:eastAsia="仿宋" w:cs="仿宋"/>
          <w:sz w:val="28"/>
          <w:szCs w:val="28"/>
          <w:lang w:val="en-US" w:eastAsia="zh-CN"/>
        </w:rPr>
        <w:t>合格标准及取得合格资格考生名单将于</w:t>
      </w:r>
      <w:r>
        <w:rPr>
          <w:rFonts w:hint="eastAsia" w:ascii="仿宋" w:hAnsi="仿宋" w:eastAsia="仿宋" w:cs="仿宋"/>
          <w:sz w:val="28"/>
          <w:szCs w:val="28"/>
          <w:u w:val="none"/>
          <w:lang w:val="en-US" w:eastAsia="zh-CN"/>
        </w:rPr>
        <w:t>专项测试后5个工作日内在</w:t>
      </w:r>
      <w:r>
        <w:rPr>
          <w:rFonts w:hint="eastAsia" w:ascii="仿宋" w:hAnsi="仿宋" w:eastAsia="仿宋" w:cs="仿宋"/>
          <w:sz w:val="28"/>
          <w:szCs w:val="28"/>
          <w:lang w:val="en-US" w:eastAsia="zh-CN"/>
        </w:rPr>
        <w:t>我院招生网予以公布。</w:t>
      </w:r>
    </w:p>
    <w:p>
      <w:pPr>
        <w:widowControl/>
        <w:shd w:val="clear" w:color="auto" w:fill="FFFFFF"/>
        <w:spacing w:before="62" w:beforeLines="20" w:line="500" w:lineRule="exact"/>
        <w:ind w:left="561"/>
        <w:rPr>
          <w:rFonts w:hint="eastAsia" w:eastAsia="仿宋"/>
          <w:b/>
          <w:bCs/>
          <w:sz w:val="32"/>
          <w:szCs w:val="28"/>
          <w:u w:val="none"/>
        </w:rPr>
      </w:pPr>
      <w:r>
        <w:rPr>
          <w:rFonts w:hint="eastAsia" w:eastAsia="仿宋"/>
          <w:b/>
          <w:bCs/>
          <w:sz w:val="32"/>
          <w:szCs w:val="28"/>
          <w:u w:val="none"/>
          <w:lang w:val="en-US" w:eastAsia="zh-CN"/>
        </w:rPr>
        <w:t>六、</w:t>
      </w:r>
      <w:r>
        <w:rPr>
          <w:rFonts w:hint="eastAsia" w:eastAsia="仿宋"/>
          <w:b/>
          <w:bCs/>
          <w:sz w:val="32"/>
          <w:szCs w:val="28"/>
          <w:u w:val="none"/>
        </w:rPr>
        <w:t>录取原则</w:t>
      </w:r>
    </w:p>
    <w:p>
      <w:pPr>
        <w:spacing w:line="500" w:lineRule="exact"/>
        <w:ind w:firstLine="560" w:firstLineChars="200"/>
        <w:rPr>
          <w:rFonts w:hint="default" w:eastAsia="仿宋"/>
          <w:sz w:val="28"/>
          <w:szCs w:val="28"/>
          <w:u w:val="none"/>
          <w:lang w:val="en-US" w:eastAsia="zh-CN"/>
        </w:rPr>
      </w:pPr>
      <w:r>
        <w:rPr>
          <w:rFonts w:hint="eastAsia" w:eastAsia="仿宋"/>
          <w:sz w:val="28"/>
          <w:szCs w:val="28"/>
          <w:u w:val="none"/>
          <w:lang w:val="en-US" w:eastAsia="zh-CN"/>
        </w:rPr>
        <w:t>1.艺术特长生可选择我校高职单招任意一个招生专业，我校将按照分数优先、遵循志愿的原则进行录取。</w:t>
      </w:r>
    </w:p>
    <w:p>
      <w:pPr>
        <w:spacing w:line="500" w:lineRule="exact"/>
        <w:ind w:firstLine="560" w:firstLineChars="200"/>
        <w:rPr>
          <w:rFonts w:hint="eastAsia" w:eastAsia="仿宋"/>
          <w:sz w:val="28"/>
          <w:szCs w:val="28"/>
          <w:u w:val="none"/>
          <w:lang w:val="en-US" w:eastAsia="zh-CN"/>
        </w:rPr>
      </w:pPr>
      <w:r>
        <w:rPr>
          <w:rFonts w:hint="eastAsia" w:eastAsia="仿宋"/>
          <w:sz w:val="28"/>
          <w:szCs w:val="28"/>
          <w:u w:val="none"/>
          <w:lang w:val="en-US" w:eastAsia="zh-CN"/>
        </w:rPr>
        <w:t>2.综合成绩计算方式：</w:t>
      </w:r>
      <w:r>
        <w:rPr>
          <w:rFonts w:hint="default" w:ascii="等线" w:hAnsi="等线" w:eastAsia="仿宋" w:cs="仿宋"/>
          <w:sz w:val="28"/>
          <w:szCs w:val="28"/>
          <w:lang w:val="en-US" w:eastAsia="zh-CN"/>
        </w:rPr>
        <w:t>综合成绩=文化素质测试成绩+湖南省2024年艺术类专业省级统考成绩×2÷3+艺术专项测试成绩</w:t>
      </w:r>
      <w:r>
        <w:rPr>
          <w:rFonts w:hint="eastAsia" w:eastAsia="仿宋"/>
          <w:sz w:val="28"/>
          <w:szCs w:val="28"/>
          <w:u w:val="none"/>
          <w:lang w:val="en-US" w:eastAsia="zh-CN"/>
        </w:rPr>
        <w:t>。文化素质测试总分为300分，</w:t>
      </w:r>
      <w:r>
        <w:rPr>
          <w:rFonts w:hint="default" w:ascii="等线" w:hAnsi="等线" w:eastAsia="仿宋" w:cs="仿宋"/>
          <w:sz w:val="28"/>
          <w:szCs w:val="28"/>
          <w:lang w:val="en-US" w:eastAsia="zh-CN"/>
        </w:rPr>
        <w:t>湖南省2024年艺术类专业省级统考成绩</w:t>
      </w:r>
      <w:r>
        <w:rPr>
          <w:rFonts w:hint="eastAsia" w:ascii="等线" w:hAnsi="等线" w:eastAsia="仿宋" w:cs="仿宋"/>
          <w:sz w:val="28"/>
          <w:szCs w:val="28"/>
          <w:lang w:val="en-US" w:eastAsia="zh-CN"/>
        </w:rPr>
        <w:t>换算成200分，</w:t>
      </w:r>
      <w:r>
        <w:rPr>
          <w:rFonts w:hint="default" w:ascii="等线" w:hAnsi="等线" w:eastAsia="仿宋" w:cs="仿宋"/>
          <w:sz w:val="28"/>
          <w:szCs w:val="28"/>
          <w:lang w:val="en-US" w:eastAsia="zh-CN"/>
        </w:rPr>
        <w:t>艺术专项测试成绩</w:t>
      </w:r>
      <w:r>
        <w:rPr>
          <w:rFonts w:hint="eastAsia" w:eastAsia="仿宋"/>
          <w:sz w:val="28"/>
          <w:szCs w:val="28"/>
          <w:u w:val="none"/>
          <w:lang w:val="en-US" w:eastAsia="zh-CN"/>
        </w:rPr>
        <w:t>为100分。</w:t>
      </w:r>
    </w:p>
    <w:p>
      <w:pPr>
        <w:spacing w:line="500" w:lineRule="exact"/>
        <w:ind w:firstLine="560" w:firstLineChars="200"/>
        <w:rPr>
          <w:rFonts w:hint="default" w:eastAsia="仿宋"/>
          <w:sz w:val="28"/>
          <w:szCs w:val="28"/>
          <w:u w:val="none"/>
          <w:lang w:val="en-US" w:eastAsia="zh-CN"/>
        </w:rPr>
      </w:pPr>
      <w:r>
        <w:rPr>
          <w:rFonts w:hint="eastAsia" w:eastAsia="仿宋"/>
          <w:sz w:val="28"/>
          <w:szCs w:val="28"/>
          <w:u w:val="none"/>
          <w:lang w:val="en-US" w:eastAsia="zh-CN"/>
        </w:rPr>
        <w:t>3.录取办法：严格按照专业计划数，依据取得合格资格考生的综合成绩从高分到低分进行排序录取，某专业项目生源不足时，所剩计划调整到其它专业项目录取（计划调整先后顺序为：播音主持类、音乐类、舞蹈类、美术与设计类），如仍然没有完成计划，则转为录取普通类单招考生。）</w:t>
      </w:r>
    </w:p>
    <w:p>
      <w:pPr>
        <w:spacing w:line="500" w:lineRule="exact"/>
        <w:ind w:firstLine="560" w:firstLineChars="200"/>
        <w:rPr>
          <w:rFonts w:hint="default" w:eastAsia="仿宋"/>
          <w:sz w:val="28"/>
          <w:szCs w:val="28"/>
          <w:u w:val="none"/>
          <w:lang w:val="en-US" w:eastAsia="zh-CN"/>
        </w:rPr>
      </w:pPr>
      <w:r>
        <w:rPr>
          <w:rFonts w:hint="eastAsia" w:eastAsia="仿宋"/>
          <w:sz w:val="28"/>
          <w:szCs w:val="28"/>
          <w:u w:val="none"/>
          <w:lang w:val="en-US" w:eastAsia="zh-CN"/>
        </w:rPr>
        <w:t>4.未被我校艺术类特长生录取的考生，如参加了我校普通类考生考试，可参照相关考生类别规则参与普通类考生录取。</w:t>
      </w:r>
    </w:p>
    <w:p>
      <w:pPr>
        <w:widowControl/>
        <w:shd w:val="clear" w:color="auto" w:fill="FFFFFF"/>
        <w:spacing w:before="62" w:beforeLines="20" w:line="500" w:lineRule="exact"/>
        <w:ind w:left="561"/>
        <w:rPr>
          <w:rFonts w:eastAsia="仿宋"/>
          <w:b/>
          <w:bCs/>
          <w:sz w:val="32"/>
          <w:szCs w:val="28"/>
          <w:u w:val="none"/>
        </w:rPr>
      </w:pPr>
      <w:r>
        <w:rPr>
          <w:rFonts w:hint="eastAsia" w:eastAsia="仿宋"/>
          <w:b/>
          <w:bCs/>
          <w:sz w:val="32"/>
          <w:szCs w:val="28"/>
          <w:u w:val="none"/>
          <w:lang w:val="en-US" w:eastAsia="zh-CN"/>
        </w:rPr>
        <w:t>七</w:t>
      </w:r>
      <w:r>
        <w:rPr>
          <w:rFonts w:hint="eastAsia" w:eastAsia="仿宋"/>
          <w:b/>
          <w:bCs/>
          <w:sz w:val="32"/>
          <w:szCs w:val="28"/>
          <w:u w:val="none"/>
        </w:rPr>
        <w:t>、入校复查</w:t>
      </w:r>
    </w:p>
    <w:p>
      <w:pPr>
        <w:pStyle w:val="11"/>
        <w:spacing w:before="0" w:beforeAutospacing="0" w:after="0" w:afterAutospacing="0" w:line="500" w:lineRule="exact"/>
        <w:ind w:firstLine="560" w:firstLineChars="200"/>
        <w:jc w:val="both"/>
        <w:rPr>
          <w:rFonts w:eastAsia="仿宋" w:asciiTheme="minorHAnsi" w:hAnsiTheme="minorHAnsi" w:cstheme="minorBidi"/>
          <w:kern w:val="2"/>
          <w:sz w:val="28"/>
          <w:szCs w:val="28"/>
          <w:u w:val="none"/>
        </w:rPr>
      </w:pPr>
      <w:r>
        <w:rPr>
          <w:rFonts w:hint="eastAsia" w:eastAsia="仿宋" w:asciiTheme="minorHAnsi" w:hAnsiTheme="minorHAnsi" w:cstheme="minorBidi"/>
          <w:kern w:val="2"/>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widowControl/>
        <w:shd w:val="clear" w:color="auto" w:fill="FFFFFF"/>
        <w:spacing w:before="62" w:beforeLines="20" w:line="500" w:lineRule="exact"/>
        <w:ind w:left="561"/>
        <w:rPr>
          <w:rFonts w:eastAsia="仿宋"/>
          <w:b/>
          <w:bCs/>
          <w:sz w:val="32"/>
          <w:szCs w:val="28"/>
          <w:u w:val="none"/>
        </w:rPr>
      </w:pPr>
      <w:r>
        <w:rPr>
          <w:rFonts w:hint="eastAsia" w:eastAsia="仿宋"/>
          <w:b/>
          <w:bCs/>
          <w:sz w:val="32"/>
          <w:szCs w:val="28"/>
          <w:u w:val="none"/>
          <w:lang w:val="en-US" w:eastAsia="zh-CN"/>
        </w:rPr>
        <w:t>八</w:t>
      </w:r>
      <w:r>
        <w:rPr>
          <w:rFonts w:hint="eastAsia" w:eastAsia="仿宋"/>
          <w:b/>
          <w:bCs/>
          <w:sz w:val="32"/>
          <w:szCs w:val="28"/>
          <w:u w:val="none"/>
        </w:rPr>
        <w:t>、监督机制</w:t>
      </w:r>
    </w:p>
    <w:p>
      <w:pPr>
        <w:pStyle w:val="11"/>
        <w:spacing w:before="0" w:beforeAutospacing="0" w:after="0" w:afterAutospacing="0" w:line="500" w:lineRule="exact"/>
        <w:ind w:firstLine="560" w:firstLineChars="200"/>
        <w:jc w:val="both"/>
        <w:rPr>
          <w:rFonts w:hint="eastAsia" w:eastAsia="仿宋" w:cs="仿宋" w:asciiTheme="minorHAnsi" w:hAnsiTheme="minorHAnsi"/>
          <w:kern w:val="2"/>
          <w:sz w:val="28"/>
          <w:szCs w:val="28"/>
          <w:u w:val="none"/>
          <w:shd w:val="clear" w:color="auto" w:fill="FFFFFF"/>
        </w:rPr>
      </w:pPr>
      <w:r>
        <w:rPr>
          <w:rFonts w:hint="eastAsia" w:eastAsia="仿宋" w:cs="仿宋" w:asciiTheme="minorHAnsi" w:hAnsiTheme="minorHAnsi"/>
          <w:kern w:val="2"/>
          <w:sz w:val="28"/>
          <w:szCs w:val="28"/>
          <w:u w:val="none"/>
          <w:shd w:val="clear" w:color="auto" w:fill="FFFFFF"/>
          <w:lang w:eastAsia="zh-CN"/>
        </w:rPr>
        <w:t>我校纪委对特长生招生考试工作进行全程监督，如发现我校特长生招生工作存在违纪违规行为，请直接向我校纪委反映，</w:t>
      </w:r>
      <w:r>
        <w:rPr>
          <w:rFonts w:hint="eastAsia" w:eastAsia="仿宋" w:cs="仿宋" w:asciiTheme="minorHAnsi" w:hAnsiTheme="minorHAnsi"/>
          <w:kern w:val="2"/>
          <w:sz w:val="28"/>
          <w:szCs w:val="28"/>
          <w:u w:val="none"/>
          <w:shd w:val="clear" w:color="auto" w:fill="FFFFFF"/>
        </w:rPr>
        <w:t>监督电话</w:t>
      </w:r>
      <w:r>
        <w:rPr>
          <w:rFonts w:hint="eastAsia" w:eastAsia="仿宋" w:cs="仿宋" w:asciiTheme="minorHAnsi" w:hAnsiTheme="minorHAnsi"/>
          <w:kern w:val="2"/>
          <w:sz w:val="28"/>
          <w:szCs w:val="28"/>
          <w:u w:val="none"/>
          <w:shd w:val="clear" w:color="auto" w:fill="FFFFFF"/>
          <w:lang w:eastAsia="zh-CN"/>
        </w:rPr>
        <w:t>：</w:t>
      </w:r>
      <w:r>
        <w:rPr>
          <w:rFonts w:hint="eastAsia" w:eastAsia="仿宋" w:cs="仿宋" w:asciiTheme="minorHAnsi" w:hAnsiTheme="minorHAnsi"/>
          <w:kern w:val="2"/>
          <w:sz w:val="28"/>
          <w:szCs w:val="28"/>
          <w:u w:val="none"/>
          <w:shd w:val="clear" w:color="auto" w:fill="FFFFFF"/>
          <w:lang w:val="en-US" w:eastAsia="zh-CN"/>
        </w:rPr>
        <w:t>0731-84396502</w:t>
      </w:r>
      <w:r>
        <w:rPr>
          <w:rFonts w:hint="eastAsia" w:eastAsia="仿宋" w:cs="仿宋" w:asciiTheme="minorHAnsi" w:hAnsiTheme="minorHAnsi"/>
          <w:kern w:val="2"/>
          <w:sz w:val="28"/>
          <w:szCs w:val="28"/>
          <w:u w:val="none"/>
          <w:shd w:val="clear" w:color="auto" w:fill="FFFFFF"/>
        </w:rPr>
        <w:t>。</w:t>
      </w:r>
    </w:p>
    <w:p>
      <w:pPr>
        <w:widowControl/>
        <w:shd w:val="clear" w:color="auto" w:fill="FFFFFF"/>
        <w:spacing w:before="62" w:beforeLines="20" w:line="500" w:lineRule="exact"/>
        <w:ind w:left="561"/>
        <w:rPr>
          <w:rFonts w:hint="eastAsia" w:eastAsia="仿宋"/>
          <w:b/>
          <w:bCs/>
          <w:sz w:val="32"/>
          <w:szCs w:val="28"/>
          <w:u w:val="none"/>
          <w:lang w:val="en-US" w:eastAsia="zh-CN"/>
        </w:rPr>
      </w:pPr>
      <w:r>
        <w:rPr>
          <w:rFonts w:hint="eastAsia" w:eastAsia="仿宋"/>
          <w:b/>
          <w:bCs/>
          <w:sz w:val="32"/>
          <w:szCs w:val="28"/>
          <w:u w:val="none"/>
          <w:lang w:val="en-US" w:eastAsia="zh-CN"/>
        </w:rPr>
        <w:t>九、联系方式</w:t>
      </w:r>
    </w:p>
    <w:p>
      <w:pPr>
        <w:widowControl/>
        <w:shd w:val="clear" w:color="auto" w:fill="FFFFFF"/>
        <w:spacing w:before="62" w:beforeLines="20" w:line="500" w:lineRule="exact"/>
        <w:ind w:firstLine="560" w:firstLineChars="200"/>
        <w:rPr>
          <w:rFonts w:hint="eastAsia" w:eastAsia="仿宋"/>
          <w:b/>
          <w:bCs/>
          <w:sz w:val="32"/>
          <w:szCs w:val="28"/>
          <w:u w:val="none"/>
        </w:rPr>
      </w:pPr>
      <w:r>
        <w:rPr>
          <w:rFonts w:hint="eastAsia" w:ascii="等线" w:hAnsi="等线" w:eastAsia="仿宋" w:cs="仿宋"/>
          <w:sz w:val="28"/>
          <w:szCs w:val="28"/>
          <w:u w:val="none"/>
          <w:lang w:val="en-US" w:eastAsia="zh-CN"/>
        </w:rPr>
        <w:t>我校艺术特长生招生考试工作由招生就业与创新创业工作处牵头。联系方式：0731-84396555</w:t>
      </w:r>
    </w:p>
    <w:p>
      <w:pPr>
        <w:widowControl/>
        <w:shd w:val="clear" w:color="auto" w:fill="FFFFFF"/>
        <w:spacing w:before="62" w:beforeLines="20" w:line="500" w:lineRule="exact"/>
        <w:ind w:left="561"/>
        <w:rPr>
          <w:rFonts w:hint="eastAsia" w:eastAsia="仿宋"/>
          <w:b/>
          <w:bCs/>
          <w:sz w:val="32"/>
          <w:szCs w:val="28"/>
          <w:u w:val="none"/>
          <w:lang w:val="en-US" w:eastAsia="zh-CN"/>
        </w:rPr>
      </w:pPr>
      <w:r>
        <w:rPr>
          <w:rFonts w:hint="eastAsia" w:eastAsia="仿宋"/>
          <w:b/>
          <w:bCs/>
          <w:sz w:val="32"/>
          <w:szCs w:val="28"/>
          <w:u w:val="none"/>
          <w:lang w:val="en-US" w:eastAsia="zh-CN"/>
        </w:rPr>
        <w:t>十、其他事项</w:t>
      </w:r>
    </w:p>
    <w:p>
      <w:pPr>
        <w:pStyle w:val="11"/>
        <w:numPr>
          <w:ilvl w:val="0"/>
          <w:numId w:val="0"/>
        </w:numPr>
        <w:shd w:val="clear" w:color="auto" w:fill="FFFFFF"/>
        <w:spacing w:before="0" w:beforeAutospacing="0" w:after="0" w:afterAutospacing="0" w:line="500" w:lineRule="exact"/>
        <w:ind w:firstLine="560" w:firstLineChars="200"/>
        <w:rPr>
          <w:rFonts w:hint="eastAsia" w:ascii="等线" w:hAnsi="等线" w:eastAsia="仿宋" w:cs="仿宋"/>
          <w:kern w:val="2"/>
          <w:sz w:val="28"/>
          <w:szCs w:val="28"/>
          <w:u w:val="none"/>
          <w:lang w:val="en-US" w:eastAsia="zh-CN" w:bidi="ar-SA"/>
        </w:rPr>
      </w:pPr>
      <w:r>
        <w:rPr>
          <w:rFonts w:hint="eastAsia" w:ascii="等线" w:hAnsi="等线" w:eastAsia="仿宋" w:cs="仿宋"/>
          <w:kern w:val="2"/>
          <w:sz w:val="28"/>
          <w:szCs w:val="28"/>
          <w:u w:val="none"/>
          <w:lang w:val="en-US" w:eastAsia="zh-CN" w:bidi="ar-SA"/>
        </w:rPr>
        <w:t>本方案适用于我校2024年艺术特长生高职单招。其解释权属于湖南安全技术职业学院。如遇教育部、湖南省教育厅相关招生政策调整，以公布的最新政策为准。</w:t>
      </w:r>
    </w:p>
    <w:p>
      <w:pPr>
        <w:rPr>
          <w:rFonts w:hint="eastAsia" w:ascii="微软雅黑" w:hAnsi="微软雅黑" w:eastAsia="微软雅黑" w:cs="微软雅黑"/>
          <w:b w:val="0"/>
          <w:bCs w:val="0"/>
          <w:color w:val="auto"/>
          <w:sz w:val="44"/>
          <w:szCs w:val="44"/>
          <w:lang w:val="en-US" w:eastAsia="zh-CN"/>
        </w:rPr>
      </w:pPr>
    </w:p>
    <w:p>
      <w:pP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:附件2：</w:t>
      </w:r>
    </w:p>
    <w:p>
      <w:pPr>
        <w:spacing w:line="500" w:lineRule="exact"/>
        <w:jc w:val="cente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t>湖南安全技术职业学院</w:t>
      </w:r>
    </w:p>
    <w:p>
      <w:pPr>
        <w:spacing w:line="500" w:lineRule="exact"/>
        <w:jc w:val="cente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t>应急救援技术、消防救援技术专业</w:t>
      </w:r>
    </w:p>
    <w:p>
      <w:pPr>
        <w:spacing w:line="500" w:lineRule="exact"/>
        <w:jc w:val="cente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t>2024年高职单招考试职业技能测试标准</w:t>
      </w:r>
    </w:p>
    <w:p>
      <w:pPr>
        <w:pStyle w:val="9"/>
        <w:rPr>
          <w:rFonts w:hint="eastAsia"/>
          <w:lang w:val="en-US" w:eastAsia="zh-CN"/>
        </w:rPr>
      </w:pPr>
    </w:p>
    <w:p>
      <w:pPr>
        <w:spacing w:line="50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w:t>
      </w:r>
      <w:r>
        <w:rPr>
          <w:rFonts w:hint="eastAsia" w:ascii="黑体" w:hAnsi="黑体" w:eastAsia="黑体" w:cs="黑体"/>
          <w:sz w:val="32"/>
          <w:szCs w:val="32"/>
          <w:shd w:val="clear" w:color="auto" w:fill="FFFFFF"/>
          <w:lang w:val="en-US" w:eastAsia="zh-CN"/>
        </w:rPr>
        <w:t>测试</w:t>
      </w:r>
      <w:r>
        <w:rPr>
          <w:rFonts w:hint="eastAsia" w:ascii="黑体" w:hAnsi="黑体" w:eastAsia="黑体" w:cs="黑体"/>
          <w:sz w:val="32"/>
          <w:szCs w:val="32"/>
          <w:shd w:val="clear" w:color="auto" w:fill="FFFFFF"/>
        </w:rPr>
        <w:t>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报考我校2024年单独招生应急救援技术、消防救援技术专业的全体考生。</w:t>
      </w:r>
    </w:p>
    <w:p>
      <w:pPr>
        <w:pStyle w:val="11"/>
        <w:widowControl/>
        <w:shd w:val="clear" w:color="auto" w:fill="FFFFFF"/>
        <w:spacing w:before="0" w:beforeAutospacing="0" w:after="0" w:afterAutospacing="0" w:line="56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bidi="ar"/>
        </w:rPr>
        <w:t>二</w:t>
      </w:r>
      <w:r>
        <w:rPr>
          <w:rFonts w:hint="eastAsia" w:ascii="黑体" w:hAnsi="黑体" w:eastAsia="黑体" w:cs="黑体"/>
          <w:sz w:val="32"/>
          <w:szCs w:val="32"/>
          <w:shd w:val="clear" w:color="auto" w:fill="FFFFFF"/>
          <w:lang w:bidi="ar"/>
        </w:rPr>
        <w:t>、</w:t>
      </w:r>
      <w:r>
        <w:rPr>
          <w:rFonts w:hint="eastAsia" w:ascii="黑体" w:hAnsi="黑体" w:eastAsia="黑体" w:cs="黑体"/>
          <w:sz w:val="32"/>
          <w:szCs w:val="32"/>
          <w:shd w:val="clear" w:color="auto" w:fill="FFFFFF"/>
        </w:rPr>
        <w:t>考试及录取办法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本专业</w:t>
      </w:r>
      <w:r>
        <w:rPr>
          <w:rFonts w:hint="eastAsia" w:ascii="仿宋" w:hAnsi="仿宋" w:eastAsia="仿宋" w:cs="仿宋"/>
          <w:sz w:val="30"/>
          <w:szCs w:val="30"/>
          <w:lang w:val="en-US" w:eastAsia="zh-CN"/>
        </w:rPr>
        <w:t>职业技能测试包含：体格检查、体能测试</w:t>
      </w:r>
      <w:r>
        <w:rPr>
          <w:rFonts w:hint="eastAsia" w:ascii="仿宋" w:hAnsi="仿宋" w:eastAsia="仿宋" w:cs="仿宋"/>
          <w:sz w:val="30"/>
          <w:szCs w:val="30"/>
          <w:lang w:eastAsia="zh-CN"/>
        </w:rPr>
        <w:t>。</w:t>
      </w:r>
    </w:p>
    <w:p>
      <w:pPr>
        <w:spacing w:line="560" w:lineRule="exact"/>
        <w:ind w:firstLine="643" w:firstLineChars="200"/>
        <w:rPr>
          <w:rFonts w:eastAsia="仿宋_GB2312"/>
          <w:b/>
          <w:bCs/>
          <w:sz w:val="32"/>
          <w:szCs w:val="32"/>
        </w:rPr>
      </w:pPr>
      <w:r>
        <w:rPr>
          <w:rFonts w:hint="eastAsia" w:eastAsia="仿宋_GB2312"/>
          <w:b/>
          <w:bCs/>
          <w:sz w:val="32"/>
          <w:szCs w:val="32"/>
          <w:lang w:val="en-US" w:eastAsia="zh-CN"/>
        </w:rPr>
        <w:t>1</w:t>
      </w:r>
      <w:r>
        <w:rPr>
          <w:rFonts w:eastAsia="仿宋_GB2312"/>
          <w:b/>
          <w:bCs/>
          <w:sz w:val="32"/>
          <w:szCs w:val="32"/>
        </w:rPr>
        <w:t>.</w:t>
      </w:r>
      <w:r>
        <w:rPr>
          <w:rFonts w:hint="eastAsia" w:eastAsia="仿宋_GB2312"/>
          <w:b/>
          <w:bCs/>
          <w:sz w:val="32"/>
          <w:szCs w:val="32"/>
          <w:lang w:val="en-US" w:eastAsia="zh-CN"/>
        </w:rPr>
        <w:t>体格检查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体检结果为“合格”或“不合格”，要求如下：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（1）身高：男性身高160cm以上（含），女性身高158cm以上（含）。</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（2）体重：男性：17.5≤BMI&lt;30；女性：17≤BMI&lt;24。</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BMI=体重（千克）除以身高（米）的平方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（3）空腹血糖&lt;7.0mmol/L。</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（4）视力：任何一眼裸眼视力大于4.5（含）。</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（5）骨骼发育正常，动静脉正常。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（6）身体无纹身、纹唇，男性无纹眉和纹眼线。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（7）无胸（腹）腔手术史，无心、肺、高血压、色盲、色弱等不适应从事</w:t>
      </w:r>
      <w:r>
        <w:rPr>
          <w:rFonts w:hint="eastAsia" w:ascii="仿宋" w:hAnsi="仿宋" w:eastAsia="仿宋" w:cs="仿宋"/>
          <w:sz w:val="30"/>
          <w:szCs w:val="30"/>
          <w:lang w:val="en-US" w:eastAsia="zh-CN"/>
        </w:rPr>
        <w:t>应急、</w:t>
      </w:r>
      <w:r>
        <w:rPr>
          <w:rFonts w:hint="eastAsia" w:ascii="仿宋" w:hAnsi="仿宋" w:eastAsia="仿宋" w:cs="仿宋"/>
          <w:sz w:val="30"/>
          <w:szCs w:val="30"/>
          <w:lang w:eastAsia="zh-CN"/>
        </w:rPr>
        <w:t>消防救援工作的情况。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特别提示：</w:t>
      </w:r>
      <w:r>
        <w:rPr>
          <w:rFonts w:hint="eastAsia" w:ascii="仿宋" w:hAnsi="仿宋" w:eastAsia="仿宋" w:cs="仿宋"/>
          <w:sz w:val="30"/>
          <w:szCs w:val="30"/>
          <w:lang w:eastAsia="zh-CN"/>
        </w:rPr>
        <w:t>考生需根据《准考证》要求</w:t>
      </w:r>
      <w:r>
        <w:rPr>
          <w:rFonts w:hint="eastAsia" w:ascii="仿宋" w:hAnsi="仿宋" w:eastAsia="仿宋" w:cs="仿宋"/>
          <w:sz w:val="30"/>
          <w:szCs w:val="30"/>
          <w:lang w:val="en-US" w:eastAsia="zh-CN"/>
        </w:rPr>
        <w:t>进行</w:t>
      </w:r>
      <w:r>
        <w:rPr>
          <w:rFonts w:hint="eastAsia" w:ascii="仿宋" w:hAnsi="仿宋" w:eastAsia="仿宋" w:cs="仿宋"/>
          <w:sz w:val="30"/>
          <w:szCs w:val="30"/>
          <w:lang w:eastAsia="zh-CN"/>
        </w:rPr>
        <w:t>体检，费用由考生承担。</w:t>
      </w:r>
      <w:r>
        <w:rPr>
          <w:rFonts w:hint="eastAsia" w:ascii="仿宋" w:hAnsi="仿宋" w:eastAsia="仿宋" w:cs="仿宋"/>
          <w:b/>
          <w:bCs/>
          <w:sz w:val="30"/>
          <w:szCs w:val="30"/>
          <w:lang w:eastAsia="zh-CN"/>
        </w:rPr>
        <w:t>未按要求参加体检和体检结果中任意一项不合格者，则</w:t>
      </w:r>
      <w:r>
        <w:rPr>
          <w:rFonts w:hint="eastAsia" w:ascii="仿宋" w:hAnsi="仿宋" w:eastAsia="仿宋" w:cs="仿宋"/>
          <w:b/>
          <w:bCs/>
          <w:sz w:val="30"/>
          <w:szCs w:val="30"/>
          <w:lang w:val="en-US" w:eastAsia="zh-CN"/>
        </w:rPr>
        <w:t>体格检查</w:t>
      </w:r>
      <w:r>
        <w:rPr>
          <w:rFonts w:hint="eastAsia" w:ascii="仿宋" w:hAnsi="仿宋" w:eastAsia="仿宋" w:cs="仿宋"/>
          <w:b/>
          <w:bCs/>
          <w:sz w:val="30"/>
          <w:szCs w:val="30"/>
          <w:lang w:eastAsia="zh-CN"/>
        </w:rPr>
        <w:t>判定为不合格，不予录取。</w:t>
      </w:r>
    </w:p>
    <w:p>
      <w:pPr>
        <w:spacing w:line="560" w:lineRule="exact"/>
        <w:ind w:firstLine="643" w:firstLineChars="200"/>
        <w:rPr>
          <w:rFonts w:eastAsia="仿宋_GB2312"/>
          <w:b/>
          <w:bCs/>
          <w:sz w:val="32"/>
          <w:szCs w:val="32"/>
          <w:shd w:val="clear" w:color="auto" w:fill="FFFFFF"/>
        </w:rPr>
      </w:pPr>
      <w:r>
        <w:rPr>
          <w:rFonts w:hint="eastAsia" w:eastAsia="仿宋_GB2312"/>
          <w:b/>
          <w:bCs/>
          <w:sz w:val="32"/>
          <w:szCs w:val="32"/>
          <w:lang w:val="en-US" w:eastAsia="zh-CN"/>
        </w:rPr>
        <w:t>2</w:t>
      </w:r>
      <w:r>
        <w:rPr>
          <w:rFonts w:eastAsia="仿宋_GB2312"/>
          <w:b/>
          <w:bCs/>
          <w:sz w:val="32"/>
          <w:szCs w:val="32"/>
        </w:rPr>
        <w:t>.</w:t>
      </w:r>
      <w:r>
        <w:rPr>
          <w:rFonts w:hint="eastAsia" w:eastAsia="仿宋_GB2312"/>
          <w:b/>
          <w:bCs/>
          <w:sz w:val="32"/>
          <w:szCs w:val="32"/>
          <w:lang w:val="en-US" w:eastAsia="zh-CN"/>
        </w:rPr>
        <w:t>体能</w:t>
      </w:r>
      <w:r>
        <w:rPr>
          <w:rFonts w:eastAsia="仿宋_GB2312"/>
          <w:b/>
          <w:bCs/>
          <w:sz w:val="32"/>
          <w:szCs w:val="32"/>
        </w:rPr>
        <w:t>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lang w:eastAsia="zh-CN"/>
        </w:rPr>
      </w:pPr>
      <w:r>
        <w:rPr>
          <w:rFonts w:hint="eastAsia" w:ascii="仿宋" w:hAnsi="仿宋" w:eastAsia="仿宋" w:cs="仿宋"/>
          <w:sz w:val="30"/>
          <w:szCs w:val="30"/>
          <w:lang w:val="en-US" w:eastAsia="zh-CN"/>
        </w:rPr>
        <w:t>体能测试</w:t>
      </w:r>
      <w:r>
        <w:rPr>
          <w:rFonts w:hint="eastAsia" w:ascii="仿宋" w:hAnsi="仿宋" w:eastAsia="仿宋" w:cs="仿宋"/>
          <w:sz w:val="30"/>
          <w:szCs w:val="30"/>
          <w:lang w:eastAsia="zh-CN"/>
        </w:rPr>
        <w:t>标准见附件，</w:t>
      </w:r>
      <w:r>
        <w:rPr>
          <w:rFonts w:hint="eastAsia" w:ascii="仿宋" w:hAnsi="仿宋" w:eastAsia="仿宋" w:cs="仿宋"/>
          <w:sz w:val="30"/>
          <w:szCs w:val="30"/>
          <w:lang w:val="en-US" w:eastAsia="zh-CN"/>
        </w:rPr>
        <w:t>共四项，每项90分，</w:t>
      </w:r>
      <w:r>
        <w:rPr>
          <w:rFonts w:hint="eastAsia" w:ascii="仿宋" w:hAnsi="仿宋" w:eastAsia="仿宋" w:cs="仿宋"/>
          <w:sz w:val="30"/>
          <w:szCs w:val="30"/>
          <w:lang w:eastAsia="zh-CN"/>
        </w:rPr>
        <w:t>总分为</w:t>
      </w:r>
      <w:r>
        <w:rPr>
          <w:rFonts w:hint="eastAsia" w:ascii="仿宋" w:hAnsi="仿宋" w:eastAsia="仿宋" w:cs="仿宋"/>
          <w:sz w:val="30"/>
          <w:szCs w:val="30"/>
          <w:lang w:val="en-US" w:eastAsia="zh-CN"/>
        </w:rPr>
        <w:t>360</w:t>
      </w:r>
      <w:r>
        <w:rPr>
          <w:rFonts w:hint="eastAsia" w:ascii="仿宋" w:hAnsi="仿宋" w:eastAsia="仿宋" w:cs="仿宋"/>
          <w:sz w:val="30"/>
          <w:szCs w:val="30"/>
          <w:lang w:eastAsia="zh-CN"/>
        </w:rPr>
        <w:t>分。单项测试合格标准为</w:t>
      </w:r>
      <w:r>
        <w:rPr>
          <w:rFonts w:hint="eastAsia" w:ascii="仿宋" w:hAnsi="仿宋" w:eastAsia="仿宋" w:cs="仿宋"/>
          <w:sz w:val="30"/>
          <w:szCs w:val="30"/>
          <w:lang w:val="en-US" w:eastAsia="zh-CN"/>
        </w:rPr>
        <w:t>54</w:t>
      </w:r>
      <w:r>
        <w:rPr>
          <w:rFonts w:hint="eastAsia" w:ascii="仿宋" w:hAnsi="仿宋" w:eastAsia="仿宋" w:cs="仿宋"/>
          <w:sz w:val="30"/>
          <w:szCs w:val="30"/>
          <w:lang w:eastAsia="zh-CN"/>
        </w:rPr>
        <w:t>分，</w:t>
      </w:r>
      <w:r>
        <w:rPr>
          <w:rFonts w:hint="eastAsia" w:ascii="仿宋" w:hAnsi="仿宋" w:eastAsia="仿宋" w:cs="仿宋"/>
          <w:b/>
          <w:bCs/>
          <w:sz w:val="30"/>
          <w:szCs w:val="30"/>
          <w:lang w:eastAsia="zh-CN"/>
        </w:rPr>
        <w:t>其中任意一项不合格，则</w:t>
      </w:r>
      <w:r>
        <w:rPr>
          <w:rFonts w:hint="eastAsia" w:ascii="仿宋" w:hAnsi="仿宋" w:eastAsia="仿宋" w:cs="仿宋"/>
          <w:b/>
          <w:bCs/>
          <w:sz w:val="30"/>
          <w:szCs w:val="30"/>
          <w:lang w:val="en-US" w:eastAsia="zh-CN"/>
        </w:rPr>
        <w:t>体能</w:t>
      </w:r>
      <w:r>
        <w:rPr>
          <w:rFonts w:hint="eastAsia" w:ascii="仿宋" w:hAnsi="仿宋" w:eastAsia="仿宋" w:cs="仿宋"/>
          <w:b/>
          <w:bCs/>
          <w:sz w:val="30"/>
          <w:szCs w:val="30"/>
          <w:lang w:eastAsia="zh-CN"/>
        </w:rPr>
        <w:t>测试判定为不合格，</w:t>
      </w:r>
      <w:r>
        <w:rPr>
          <w:rFonts w:hint="eastAsia" w:ascii="仿宋" w:hAnsi="仿宋" w:eastAsia="仿宋" w:cs="仿宋"/>
          <w:b/>
          <w:bCs/>
          <w:sz w:val="30"/>
          <w:szCs w:val="30"/>
          <w:lang w:val="en-US" w:eastAsia="zh-CN"/>
        </w:rPr>
        <w:t>体能</w:t>
      </w:r>
      <w:r>
        <w:rPr>
          <w:rFonts w:hint="eastAsia" w:ascii="仿宋" w:hAnsi="仿宋" w:eastAsia="仿宋" w:cs="仿宋"/>
          <w:b/>
          <w:bCs/>
          <w:sz w:val="30"/>
          <w:szCs w:val="30"/>
          <w:lang w:eastAsia="zh-CN"/>
        </w:rPr>
        <w:t>测试不合格者不予录取。</w:t>
      </w:r>
    </w:p>
    <w:p>
      <w:pPr>
        <w:pStyle w:val="11"/>
        <w:widowControl/>
        <w:shd w:val="clear" w:color="auto" w:fill="FFFFFF"/>
        <w:spacing w:before="0" w:beforeAutospacing="0" w:after="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三</w:t>
      </w:r>
      <w:r>
        <w:rPr>
          <w:rFonts w:ascii="黑体" w:hAnsi="黑体" w:eastAsia="黑体" w:cs="黑体"/>
          <w:sz w:val="32"/>
          <w:szCs w:val="32"/>
          <w:shd w:val="clear" w:color="auto" w:fill="FFFFFF"/>
        </w:rPr>
        <w:t>、注意事项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考生往返交通费、食宿费自理。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考生自备运动鞋及运动服装。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）考生必须参加准考证上的所有考试，如有缺考将不予录取</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（四）杜绝考生虚报谎报个人材料，杜绝作弊，对于弄虚作假的学生一旦查实，将取消其资格并追究相关责任人责任</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sz w:val="30"/>
          <w:szCs w:val="30"/>
        </w:rPr>
        <w:t>（五）监护人及考生必须对考生的身体健康情况充分了解，视身体情况判断能否参加测试，测试前考生必须购买人身意外伤害保险，因个人原因未购买保险而产生相应后果的，由考生本人及监护人负责。</w:t>
      </w:r>
    </w:p>
    <w:p>
      <w:pPr>
        <w:spacing w:line="56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12" w:lineRule="auto"/>
        <w:ind w:firstLine="600" w:firstLineChars="200"/>
        <w:jc w:val="left"/>
        <w:textAlignment w:val="auto"/>
        <w:rPr>
          <w:rFonts w:hint="eastAsia" w:ascii="仿宋" w:hAnsi="仿宋" w:eastAsia="仿宋" w:cs="仿宋"/>
          <w:color w:val="000000"/>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30"/>
          <w:szCs w:val="30"/>
        </w:rPr>
        <w:t>附件：应急救援技术、消防救援技术专业</w:t>
      </w:r>
      <w:r>
        <w:rPr>
          <w:rFonts w:hint="eastAsia" w:ascii="仿宋" w:hAnsi="仿宋" w:eastAsia="仿宋" w:cs="仿宋"/>
          <w:color w:val="000000"/>
          <w:sz w:val="30"/>
          <w:szCs w:val="30"/>
          <w:lang w:val="en-US" w:eastAsia="zh-CN"/>
        </w:rPr>
        <w:t>体能</w:t>
      </w:r>
      <w:r>
        <w:rPr>
          <w:rFonts w:hint="eastAsia" w:ascii="仿宋" w:hAnsi="仿宋" w:eastAsia="仿宋" w:cs="仿宋"/>
          <w:color w:val="000000"/>
          <w:sz w:val="30"/>
          <w:szCs w:val="30"/>
        </w:rPr>
        <w:t>测试标准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附件：</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应急救援技术、消防救援技术专业体能测试标准</w:t>
      </w:r>
    </w:p>
    <w:tbl>
      <w:tblPr>
        <w:tblStyle w:val="13"/>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1188"/>
        <w:gridCol w:w="1188"/>
        <w:gridCol w:w="1188"/>
        <w:gridCol w:w="1188"/>
        <w:gridCol w:w="1188"/>
        <w:gridCol w:w="1188"/>
        <w:gridCol w:w="1188"/>
        <w:gridCol w:w="1188"/>
        <w:gridCol w:w="118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88" w:type="dxa"/>
            <w:noWrap w:val="0"/>
            <w:vAlign w:val="center"/>
          </w:tcPr>
          <w:p>
            <w:pPr>
              <w:spacing w:line="0" w:lineRule="atLeast"/>
              <w:jc w:val="center"/>
              <w:rPr>
                <w:b/>
                <w:bCs/>
                <w:sz w:val="32"/>
                <w:szCs w:val="40"/>
              </w:rPr>
            </w:pPr>
            <w:r>
              <w:rPr>
                <w:b/>
                <w:bCs/>
                <w:sz w:val="24"/>
              </w:rPr>
              <w:t>项目一</w:t>
            </w:r>
          </w:p>
        </w:tc>
        <w:tc>
          <w:tcPr>
            <w:tcW w:w="13072" w:type="dxa"/>
            <w:gridSpan w:val="11"/>
            <w:noWrap w:val="0"/>
            <w:vAlign w:val="center"/>
          </w:tcPr>
          <w:p>
            <w:pPr>
              <w:widowControl/>
              <w:adjustRightInd w:val="0"/>
              <w:snapToGrid w:val="0"/>
              <w:spacing w:line="0" w:lineRule="atLeast"/>
              <w:jc w:val="center"/>
              <w:rPr>
                <w:spacing w:val="-10"/>
                <w:kern w:val="0"/>
                <w:sz w:val="24"/>
              </w:rPr>
            </w:pPr>
            <w:r>
              <w:rPr>
                <w:b/>
                <w:bCs/>
                <w:kern w:val="0"/>
                <w:sz w:val="24"/>
              </w:rPr>
              <w:t>1000（800）米测试成绩对应分值、测试要求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88" w:type="dxa"/>
            <w:noWrap w:val="0"/>
            <w:vAlign w:val="center"/>
          </w:tcPr>
          <w:p>
            <w:pPr>
              <w:spacing w:line="0" w:lineRule="atLeast"/>
              <w:ind w:firstLine="181" w:firstLineChars="100"/>
              <w:jc w:val="center"/>
              <w:rPr>
                <w:b/>
                <w:bCs/>
              </w:rPr>
            </w:pPr>
            <w:r>
              <w:rPr>
                <w:b/>
                <w:bCs/>
                <w:sz w:val="18"/>
                <w:szCs w:val="18"/>
              </w:rPr>
              <w:t>分值</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57</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63</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66</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70</w:t>
            </w:r>
            <w:r>
              <w:rPr>
                <w:kern w:val="0"/>
                <w:sz w:val="20"/>
                <w:szCs w:val="20"/>
              </w:rPr>
              <w:t>分</w:t>
            </w:r>
          </w:p>
        </w:tc>
        <w:tc>
          <w:tcPr>
            <w:tcW w:w="1188"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74</w:t>
            </w:r>
            <w:r>
              <w:rPr>
                <w:kern w:val="0"/>
                <w:sz w:val="20"/>
                <w:szCs w:val="20"/>
              </w:rPr>
              <w:t>分</w:t>
            </w:r>
          </w:p>
        </w:tc>
        <w:tc>
          <w:tcPr>
            <w:tcW w:w="1188"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78</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82</w:t>
            </w:r>
            <w:r>
              <w:rPr>
                <w:kern w:val="0"/>
                <w:sz w:val="20"/>
                <w:szCs w:val="20"/>
              </w:rPr>
              <w:t>分</w:t>
            </w:r>
          </w:p>
        </w:tc>
        <w:tc>
          <w:tcPr>
            <w:tcW w:w="1188" w:type="dxa"/>
            <w:noWrap w:val="0"/>
            <w:vAlign w:val="center"/>
          </w:tcPr>
          <w:p>
            <w:pPr>
              <w:spacing w:line="0" w:lineRule="atLeast"/>
              <w:jc w:val="center"/>
              <w:rPr>
                <w:kern w:val="0"/>
                <w:sz w:val="20"/>
                <w:szCs w:val="20"/>
              </w:rPr>
            </w:pPr>
            <w:r>
              <w:rPr>
                <w:rFonts w:hint="eastAsia"/>
                <w:kern w:val="0"/>
                <w:sz w:val="20"/>
                <w:szCs w:val="20"/>
                <w:lang w:val="en-US" w:eastAsia="zh-CN"/>
              </w:rPr>
              <w:t>86</w:t>
            </w:r>
            <w:r>
              <w:rPr>
                <w:kern w:val="0"/>
                <w:sz w:val="20"/>
                <w:szCs w:val="20"/>
              </w:rPr>
              <w:t>分</w:t>
            </w:r>
          </w:p>
        </w:tc>
        <w:tc>
          <w:tcPr>
            <w:tcW w:w="1192"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90</w:t>
            </w:r>
            <w:r>
              <w:rPr>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8" w:type="dxa"/>
            <w:noWrap w:val="0"/>
            <w:vAlign w:val="center"/>
          </w:tcPr>
          <w:p>
            <w:pPr>
              <w:spacing w:line="0" w:lineRule="atLeast"/>
              <w:ind w:firstLine="181" w:firstLineChars="100"/>
              <w:jc w:val="center"/>
              <w:rPr>
                <w:b/>
                <w:bCs/>
              </w:rPr>
            </w:pPr>
            <w:r>
              <w:rPr>
                <w:b/>
                <w:bCs/>
                <w:sz w:val="18"/>
                <w:szCs w:val="18"/>
              </w:rPr>
              <w:t>男生</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sz w:val="20"/>
                <w:szCs w:val="20"/>
              </w:rPr>
              <w:t>4'</w:t>
            </w:r>
            <w:r>
              <w:rPr>
                <w:rFonts w:hint="eastAsia"/>
                <w:sz w:val="20"/>
                <w:szCs w:val="20"/>
                <w:lang w:val="en-US" w:eastAsia="zh-CN"/>
              </w:rPr>
              <w:t>35</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rFonts w:hint="eastAsia"/>
                <w:sz w:val="20"/>
                <w:szCs w:val="20"/>
                <w:lang w:val="en-US" w:eastAsia="zh-CN"/>
              </w:rPr>
              <w:t>4</w:t>
            </w:r>
            <w:r>
              <w:rPr>
                <w:sz w:val="20"/>
                <w:szCs w:val="20"/>
              </w:rPr>
              <w:t>'</w:t>
            </w:r>
            <w:r>
              <w:rPr>
                <w:rFonts w:hint="eastAsia"/>
                <w:sz w:val="20"/>
                <w:szCs w:val="20"/>
                <w:lang w:val="en-US" w:eastAsia="zh-CN"/>
              </w:rPr>
              <w:t>20</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rFonts w:hint="eastAsia"/>
                <w:sz w:val="20"/>
                <w:szCs w:val="20"/>
                <w:lang w:val="en-US" w:eastAsia="zh-CN"/>
              </w:rPr>
              <w:t>4</w:t>
            </w:r>
            <w:r>
              <w:rPr>
                <w:sz w:val="20"/>
                <w:szCs w:val="20"/>
              </w:rPr>
              <w:t>'</w:t>
            </w:r>
            <w:r>
              <w:rPr>
                <w:rFonts w:hint="eastAsia"/>
                <w:sz w:val="20"/>
                <w:szCs w:val="20"/>
                <w:lang w:val="en-US" w:eastAsia="zh-CN"/>
              </w:rPr>
              <w:t>15</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rFonts w:hint="eastAsia"/>
                <w:sz w:val="20"/>
                <w:szCs w:val="20"/>
                <w:lang w:val="en-US" w:eastAsia="zh-CN"/>
              </w:rPr>
              <w:t>4</w:t>
            </w:r>
            <w:r>
              <w:rPr>
                <w:sz w:val="20"/>
                <w:szCs w:val="20"/>
              </w:rPr>
              <w:t>'</w:t>
            </w:r>
            <w:r>
              <w:rPr>
                <w:rFonts w:hint="eastAsia"/>
                <w:sz w:val="20"/>
                <w:szCs w:val="20"/>
                <w:lang w:val="en-US" w:eastAsia="zh-CN"/>
              </w:rPr>
              <w:t>10</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rFonts w:hint="eastAsia"/>
                <w:sz w:val="20"/>
                <w:szCs w:val="20"/>
                <w:lang w:val="en-US" w:eastAsia="zh-CN"/>
              </w:rPr>
              <w:t>4</w:t>
            </w:r>
            <w:r>
              <w:rPr>
                <w:sz w:val="20"/>
                <w:szCs w:val="20"/>
              </w:rPr>
              <w:t>'</w:t>
            </w:r>
            <w:r>
              <w:rPr>
                <w:rFonts w:hint="eastAsia"/>
                <w:sz w:val="20"/>
                <w:szCs w:val="20"/>
                <w:lang w:val="en-US" w:eastAsia="zh-CN"/>
              </w:rPr>
              <w:t>05</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kern w:val="0"/>
                <w:sz w:val="20"/>
                <w:szCs w:val="20"/>
              </w:rPr>
            </w:pPr>
            <w:r>
              <w:rPr>
                <w:rFonts w:hint="eastAsia"/>
                <w:sz w:val="20"/>
                <w:szCs w:val="20"/>
                <w:lang w:val="en-US" w:eastAsia="zh-CN"/>
              </w:rPr>
              <w:t>4</w:t>
            </w:r>
            <w:r>
              <w:rPr>
                <w:sz w:val="20"/>
                <w:szCs w:val="20"/>
              </w:rPr>
              <w:t>'</w:t>
            </w:r>
            <w:r>
              <w:rPr>
                <w:rFonts w:hint="eastAsia"/>
                <w:sz w:val="20"/>
                <w:szCs w:val="20"/>
                <w:lang w:val="en-US" w:eastAsia="zh-CN"/>
              </w:rPr>
              <w:t>00</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spacing w:val="-10"/>
                <w:kern w:val="0"/>
                <w:sz w:val="20"/>
                <w:szCs w:val="20"/>
              </w:rPr>
            </w:pPr>
            <w:r>
              <w:rPr>
                <w:sz w:val="20"/>
                <w:szCs w:val="20"/>
              </w:rPr>
              <w:t>3'</w:t>
            </w:r>
            <w:r>
              <w:rPr>
                <w:rFonts w:hint="eastAsia"/>
                <w:sz w:val="20"/>
                <w:szCs w:val="20"/>
                <w:lang w:val="en-US" w:eastAsia="zh-CN"/>
              </w:rPr>
              <w:t>55</w:t>
            </w:r>
            <w:r>
              <w:rPr>
                <w:sz w:val="20"/>
                <w:szCs w:val="20"/>
              </w:rPr>
              <w:t>″</w:t>
            </w:r>
          </w:p>
        </w:tc>
        <w:tc>
          <w:tcPr>
            <w:tcW w:w="1188" w:type="dxa"/>
            <w:noWrap w:val="0"/>
            <w:vAlign w:val="center"/>
          </w:tcPr>
          <w:p>
            <w:pPr>
              <w:adjustRightInd w:val="0"/>
              <w:snapToGrid w:val="0"/>
              <w:spacing w:line="0" w:lineRule="atLeast"/>
              <w:ind w:left="-105" w:leftChars="-50" w:right="-105" w:rightChars="-50" w:firstLine="2"/>
              <w:jc w:val="center"/>
              <w:textAlignment w:val="center"/>
              <w:rPr>
                <w:spacing w:val="-10"/>
                <w:kern w:val="0"/>
                <w:sz w:val="20"/>
                <w:szCs w:val="20"/>
              </w:rPr>
            </w:pPr>
            <w:r>
              <w:rPr>
                <w:sz w:val="20"/>
                <w:szCs w:val="20"/>
              </w:rPr>
              <w:t>3'</w:t>
            </w:r>
            <w:r>
              <w:rPr>
                <w:rFonts w:hint="eastAsia"/>
                <w:sz w:val="20"/>
                <w:szCs w:val="20"/>
                <w:lang w:val="en-US" w:eastAsia="zh-CN"/>
              </w:rPr>
              <w:t>50</w:t>
            </w:r>
            <w:r>
              <w:rPr>
                <w:sz w:val="20"/>
                <w:szCs w:val="20"/>
              </w:rPr>
              <w:t>″</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3'</w:t>
            </w:r>
            <w:r>
              <w:rPr>
                <w:rFonts w:hint="eastAsia"/>
                <w:sz w:val="20"/>
                <w:szCs w:val="20"/>
                <w:lang w:val="en-US" w:eastAsia="zh-CN"/>
              </w:rPr>
              <w:t>45</w:t>
            </w:r>
            <w:r>
              <w:rPr>
                <w:sz w:val="20"/>
                <w:szCs w:val="20"/>
              </w:rPr>
              <w:t>″</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3'</w:t>
            </w:r>
            <w:r>
              <w:rPr>
                <w:rFonts w:hint="eastAsia"/>
                <w:sz w:val="20"/>
                <w:szCs w:val="20"/>
                <w:lang w:val="en-US" w:eastAsia="zh-CN"/>
              </w:rPr>
              <w:t>40</w:t>
            </w:r>
            <w:r>
              <w:rPr>
                <w:sz w:val="20"/>
                <w:szCs w:val="20"/>
              </w:rPr>
              <w:t>″</w:t>
            </w:r>
          </w:p>
        </w:tc>
        <w:tc>
          <w:tcPr>
            <w:tcW w:w="1192" w:type="dxa"/>
            <w:noWrap w:val="0"/>
            <w:vAlign w:val="center"/>
          </w:tcPr>
          <w:p>
            <w:pPr>
              <w:adjustRightInd w:val="0"/>
              <w:snapToGrid w:val="0"/>
              <w:spacing w:line="0" w:lineRule="atLeast"/>
              <w:ind w:left="-105" w:leftChars="-50" w:right="-105" w:rightChars="-50" w:firstLine="2"/>
              <w:jc w:val="center"/>
              <w:textAlignment w:val="center"/>
              <w:rPr>
                <w:sz w:val="20"/>
                <w:szCs w:val="20"/>
              </w:rPr>
            </w:pPr>
            <w:r>
              <w:rPr>
                <w:sz w:val="20"/>
                <w:szCs w:val="20"/>
              </w:rPr>
              <w:t>3'</w:t>
            </w:r>
            <w:r>
              <w:rPr>
                <w:rFonts w:hint="eastAsia"/>
                <w:sz w:val="20"/>
                <w:szCs w:val="20"/>
                <w:lang w:val="en-US" w:eastAsia="zh-CN"/>
              </w:rPr>
              <w:t>40</w:t>
            </w:r>
            <w:r>
              <w:rPr>
                <w:sz w:val="20"/>
                <w:szCs w:val="20"/>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88" w:type="dxa"/>
            <w:noWrap w:val="0"/>
            <w:vAlign w:val="center"/>
          </w:tcPr>
          <w:p>
            <w:pPr>
              <w:adjustRightInd w:val="0"/>
              <w:snapToGrid w:val="0"/>
              <w:spacing w:line="0" w:lineRule="atLeast"/>
              <w:jc w:val="center"/>
              <w:rPr>
                <w:b/>
                <w:bCs/>
                <w:sz w:val="18"/>
                <w:szCs w:val="18"/>
              </w:rPr>
            </w:pPr>
          </w:p>
          <w:p>
            <w:pPr>
              <w:adjustRightInd w:val="0"/>
              <w:snapToGrid w:val="0"/>
              <w:spacing w:line="0" w:lineRule="atLeast"/>
              <w:ind w:firstLine="181" w:firstLineChars="100"/>
              <w:jc w:val="center"/>
              <w:rPr>
                <w:b/>
                <w:bCs/>
              </w:rPr>
            </w:pPr>
            <w:r>
              <w:rPr>
                <w:b/>
                <w:bCs/>
                <w:sz w:val="18"/>
                <w:szCs w:val="18"/>
              </w:rPr>
              <w:t>女生</w:t>
            </w:r>
          </w:p>
        </w:tc>
        <w:tc>
          <w:tcPr>
            <w:tcW w:w="1188" w:type="dxa"/>
            <w:noWrap w:val="0"/>
            <w:vAlign w:val="center"/>
          </w:tcPr>
          <w:p>
            <w:pPr>
              <w:widowControl/>
              <w:adjustRightInd w:val="0"/>
              <w:snapToGrid w:val="0"/>
              <w:spacing w:line="0" w:lineRule="atLeast"/>
              <w:jc w:val="center"/>
              <w:rPr>
                <w:strike w:val="0"/>
                <w:dstrike w:val="0"/>
                <w:kern w:val="0"/>
                <w:sz w:val="20"/>
                <w:szCs w:val="20"/>
              </w:rPr>
            </w:pPr>
            <w:r>
              <w:rPr>
                <w:rFonts w:hint="eastAsia"/>
                <w:strike w:val="0"/>
                <w:dstrike w:val="0"/>
                <w:sz w:val="20"/>
                <w:szCs w:val="20"/>
                <w:lang w:val="en-US" w:eastAsia="zh-CN"/>
              </w:rPr>
              <w:t>4</w:t>
            </w:r>
            <w:r>
              <w:rPr>
                <w:strike w:val="0"/>
                <w:dstrike w:val="0"/>
                <w:sz w:val="20"/>
                <w:szCs w:val="20"/>
              </w:rPr>
              <w:t>'</w:t>
            </w:r>
            <w:r>
              <w:rPr>
                <w:rFonts w:hint="eastAsia"/>
                <w:strike w:val="0"/>
                <w:dstrike w:val="0"/>
                <w:sz w:val="20"/>
                <w:szCs w:val="20"/>
                <w:lang w:val="en-US" w:eastAsia="zh-CN"/>
              </w:rPr>
              <w:t>10</w:t>
            </w:r>
            <w:r>
              <w:rPr>
                <w:strike w:val="0"/>
                <w:dstrike w:val="0"/>
                <w:sz w:val="20"/>
                <w:szCs w:val="20"/>
              </w:rPr>
              <w:t>″</w:t>
            </w:r>
          </w:p>
        </w:tc>
        <w:tc>
          <w:tcPr>
            <w:tcW w:w="1188" w:type="dxa"/>
            <w:noWrap w:val="0"/>
            <w:vAlign w:val="center"/>
          </w:tcPr>
          <w:p>
            <w:pPr>
              <w:widowControl/>
              <w:adjustRightInd w:val="0"/>
              <w:snapToGrid w:val="0"/>
              <w:spacing w:line="0" w:lineRule="atLeast"/>
              <w:jc w:val="center"/>
              <w:rPr>
                <w:strike w:val="0"/>
                <w:dstrike w:val="0"/>
                <w:kern w:val="0"/>
                <w:sz w:val="20"/>
                <w:szCs w:val="20"/>
              </w:rPr>
            </w:pPr>
            <w:r>
              <w:rPr>
                <w:rFonts w:hint="eastAsia"/>
                <w:strike w:val="0"/>
                <w:dstrike w:val="0"/>
                <w:sz w:val="20"/>
                <w:szCs w:val="20"/>
                <w:lang w:val="en-US" w:eastAsia="zh-CN"/>
              </w:rPr>
              <w:t>4</w:t>
            </w:r>
            <w:r>
              <w:rPr>
                <w:strike w:val="0"/>
                <w:dstrike w:val="0"/>
                <w:sz w:val="20"/>
                <w:szCs w:val="20"/>
              </w:rPr>
              <w:t>'</w:t>
            </w:r>
            <w:r>
              <w:rPr>
                <w:rFonts w:hint="eastAsia"/>
                <w:strike w:val="0"/>
                <w:dstrike w:val="0"/>
                <w:sz w:val="20"/>
                <w:szCs w:val="20"/>
                <w:lang w:val="en-US" w:eastAsia="zh-CN"/>
              </w:rPr>
              <w:t>05</w:t>
            </w:r>
            <w:r>
              <w:rPr>
                <w:strike w:val="0"/>
                <w:dstrike w:val="0"/>
                <w:sz w:val="20"/>
                <w:szCs w:val="20"/>
              </w:rPr>
              <w:t>″</w:t>
            </w:r>
          </w:p>
        </w:tc>
        <w:tc>
          <w:tcPr>
            <w:tcW w:w="1188" w:type="dxa"/>
            <w:noWrap w:val="0"/>
            <w:vAlign w:val="center"/>
          </w:tcPr>
          <w:p>
            <w:pPr>
              <w:widowControl/>
              <w:adjustRightInd w:val="0"/>
              <w:snapToGrid w:val="0"/>
              <w:spacing w:line="0" w:lineRule="atLeast"/>
              <w:jc w:val="center"/>
              <w:rPr>
                <w:strike w:val="0"/>
                <w:dstrike w:val="0"/>
                <w:kern w:val="0"/>
                <w:sz w:val="20"/>
                <w:szCs w:val="20"/>
              </w:rPr>
            </w:pPr>
            <w:r>
              <w:rPr>
                <w:rFonts w:hint="eastAsia"/>
                <w:strike w:val="0"/>
                <w:dstrike w:val="0"/>
                <w:sz w:val="20"/>
                <w:szCs w:val="20"/>
                <w:lang w:val="en-US" w:eastAsia="zh-CN"/>
              </w:rPr>
              <w:t>4</w:t>
            </w:r>
            <w:r>
              <w:rPr>
                <w:strike w:val="0"/>
                <w:dstrike w:val="0"/>
                <w:sz w:val="20"/>
                <w:szCs w:val="20"/>
              </w:rPr>
              <w:t>'</w:t>
            </w:r>
            <w:r>
              <w:rPr>
                <w:rFonts w:hint="eastAsia"/>
                <w:strike w:val="0"/>
                <w:dstrike w:val="0"/>
                <w:sz w:val="20"/>
                <w:szCs w:val="20"/>
                <w:lang w:val="en-US" w:eastAsia="zh-CN"/>
              </w:rPr>
              <w:t>00</w:t>
            </w:r>
            <w:r>
              <w:rPr>
                <w:strike w:val="0"/>
                <w:dstrike w:val="0"/>
                <w:sz w:val="20"/>
                <w:szCs w:val="20"/>
              </w:rPr>
              <w:t>″</w:t>
            </w:r>
          </w:p>
        </w:tc>
        <w:tc>
          <w:tcPr>
            <w:tcW w:w="1188" w:type="dxa"/>
            <w:noWrap w:val="0"/>
            <w:vAlign w:val="center"/>
          </w:tcPr>
          <w:p>
            <w:pPr>
              <w:adjustRightInd w:val="0"/>
              <w:snapToGrid w:val="0"/>
              <w:spacing w:line="0" w:lineRule="atLeast"/>
              <w:ind w:left="-105" w:leftChars="-50" w:right="-105" w:rightChars="-50" w:firstLine="2" w:firstLineChars="0"/>
              <w:jc w:val="center"/>
              <w:textAlignment w:val="center"/>
              <w:rPr>
                <w:strike w:val="0"/>
                <w:dstrike w:val="0"/>
                <w:kern w:val="0"/>
                <w:sz w:val="20"/>
                <w:szCs w:val="20"/>
              </w:rPr>
            </w:pPr>
            <w:r>
              <w:rPr>
                <w:strike w:val="0"/>
                <w:sz w:val="20"/>
                <w:szCs w:val="20"/>
              </w:rPr>
              <w:t>3'</w:t>
            </w:r>
            <w:r>
              <w:rPr>
                <w:rFonts w:hint="eastAsia"/>
                <w:strike w:val="0"/>
                <w:sz w:val="20"/>
                <w:szCs w:val="20"/>
                <w:lang w:val="en-US" w:eastAsia="zh-CN"/>
              </w:rPr>
              <w:t>55</w:t>
            </w:r>
            <w:r>
              <w:rPr>
                <w:strike w:val="0"/>
                <w:sz w:val="20"/>
                <w:szCs w:val="20"/>
              </w:rPr>
              <w:t>″</w:t>
            </w:r>
          </w:p>
        </w:tc>
        <w:tc>
          <w:tcPr>
            <w:tcW w:w="1188" w:type="dxa"/>
            <w:noWrap w:val="0"/>
            <w:vAlign w:val="center"/>
          </w:tcPr>
          <w:p>
            <w:pPr>
              <w:adjustRightInd w:val="0"/>
              <w:snapToGrid w:val="0"/>
              <w:spacing w:line="0" w:lineRule="atLeast"/>
              <w:ind w:left="-105" w:leftChars="-50" w:right="-105" w:rightChars="-50" w:firstLine="2" w:firstLineChars="0"/>
              <w:jc w:val="center"/>
              <w:textAlignment w:val="center"/>
              <w:rPr>
                <w:strike w:val="0"/>
                <w:dstrike w:val="0"/>
                <w:kern w:val="0"/>
                <w:sz w:val="20"/>
                <w:szCs w:val="20"/>
              </w:rPr>
            </w:pPr>
            <w:r>
              <w:rPr>
                <w:strike w:val="0"/>
                <w:sz w:val="20"/>
                <w:szCs w:val="20"/>
              </w:rPr>
              <w:t>3'</w:t>
            </w:r>
            <w:r>
              <w:rPr>
                <w:rFonts w:hint="eastAsia"/>
                <w:strike w:val="0"/>
                <w:sz w:val="20"/>
                <w:szCs w:val="20"/>
                <w:lang w:val="en-US" w:eastAsia="zh-CN"/>
              </w:rPr>
              <w:t>50</w:t>
            </w:r>
            <w:r>
              <w:rPr>
                <w:strike w:val="0"/>
                <w:sz w:val="20"/>
                <w:szCs w:val="20"/>
              </w:rPr>
              <w:t>″</w:t>
            </w:r>
          </w:p>
        </w:tc>
        <w:tc>
          <w:tcPr>
            <w:tcW w:w="1188" w:type="dxa"/>
            <w:noWrap w:val="0"/>
            <w:vAlign w:val="center"/>
          </w:tcPr>
          <w:p>
            <w:pPr>
              <w:widowControl/>
              <w:adjustRightInd w:val="0"/>
              <w:snapToGrid w:val="0"/>
              <w:spacing w:line="0" w:lineRule="atLeast"/>
              <w:jc w:val="center"/>
              <w:rPr>
                <w:strike w:val="0"/>
                <w:dstrike w:val="0"/>
                <w:kern w:val="0"/>
                <w:sz w:val="20"/>
                <w:szCs w:val="20"/>
              </w:rPr>
            </w:pPr>
            <w:r>
              <w:rPr>
                <w:strike w:val="0"/>
                <w:sz w:val="20"/>
                <w:szCs w:val="20"/>
              </w:rPr>
              <w:t>3'</w:t>
            </w:r>
            <w:r>
              <w:rPr>
                <w:rFonts w:hint="eastAsia"/>
                <w:strike w:val="0"/>
                <w:sz w:val="20"/>
                <w:szCs w:val="20"/>
                <w:lang w:val="en-US" w:eastAsia="zh-CN"/>
              </w:rPr>
              <w:t>45</w:t>
            </w:r>
            <w:r>
              <w:rPr>
                <w:strike w:val="0"/>
                <w:sz w:val="20"/>
                <w:szCs w:val="20"/>
              </w:rPr>
              <w:t>″</w:t>
            </w:r>
          </w:p>
        </w:tc>
        <w:tc>
          <w:tcPr>
            <w:tcW w:w="1188" w:type="dxa"/>
            <w:noWrap w:val="0"/>
            <w:vAlign w:val="center"/>
          </w:tcPr>
          <w:p>
            <w:pPr>
              <w:widowControl/>
              <w:adjustRightInd w:val="0"/>
              <w:snapToGrid w:val="0"/>
              <w:spacing w:line="0" w:lineRule="atLeast"/>
              <w:jc w:val="center"/>
              <w:rPr>
                <w:strike w:val="0"/>
                <w:dstrike w:val="0"/>
                <w:spacing w:val="-10"/>
                <w:kern w:val="0"/>
                <w:sz w:val="20"/>
                <w:szCs w:val="20"/>
              </w:rPr>
            </w:pPr>
            <w:r>
              <w:rPr>
                <w:strike w:val="0"/>
                <w:sz w:val="20"/>
                <w:szCs w:val="20"/>
              </w:rPr>
              <w:t>3'</w:t>
            </w:r>
            <w:r>
              <w:rPr>
                <w:rFonts w:hint="eastAsia"/>
                <w:strike w:val="0"/>
                <w:sz w:val="20"/>
                <w:szCs w:val="20"/>
                <w:lang w:val="en-US" w:eastAsia="zh-CN"/>
              </w:rPr>
              <w:t>40</w:t>
            </w:r>
            <w:r>
              <w:rPr>
                <w:strike w:val="0"/>
                <w:sz w:val="20"/>
                <w:szCs w:val="20"/>
              </w:rPr>
              <w:t>″</w:t>
            </w:r>
          </w:p>
        </w:tc>
        <w:tc>
          <w:tcPr>
            <w:tcW w:w="1188" w:type="dxa"/>
            <w:noWrap w:val="0"/>
            <w:vAlign w:val="center"/>
          </w:tcPr>
          <w:p>
            <w:pPr>
              <w:adjustRightInd w:val="0"/>
              <w:snapToGrid w:val="0"/>
              <w:spacing w:line="0" w:lineRule="atLeast"/>
              <w:ind w:left="-105" w:leftChars="-50" w:right="-105" w:rightChars="-50" w:firstLine="2" w:firstLineChars="0"/>
              <w:jc w:val="center"/>
              <w:textAlignment w:val="center"/>
              <w:rPr>
                <w:strike w:val="0"/>
                <w:dstrike w:val="0"/>
                <w:spacing w:val="-10"/>
                <w:kern w:val="0"/>
                <w:sz w:val="20"/>
                <w:szCs w:val="20"/>
              </w:rPr>
            </w:pPr>
            <w:r>
              <w:rPr>
                <w:strike w:val="0"/>
                <w:sz w:val="20"/>
                <w:szCs w:val="20"/>
              </w:rPr>
              <w:t>3'</w:t>
            </w:r>
            <w:r>
              <w:rPr>
                <w:rFonts w:hint="eastAsia"/>
                <w:strike w:val="0"/>
                <w:sz w:val="20"/>
                <w:szCs w:val="20"/>
                <w:lang w:val="en-US" w:eastAsia="zh-CN"/>
              </w:rPr>
              <w:t>35</w:t>
            </w:r>
            <w:r>
              <w:rPr>
                <w:strike w:val="0"/>
                <w:sz w:val="20"/>
                <w:szCs w:val="20"/>
              </w:rPr>
              <w:t>″</w:t>
            </w:r>
          </w:p>
        </w:tc>
        <w:tc>
          <w:tcPr>
            <w:tcW w:w="1188" w:type="dxa"/>
            <w:noWrap w:val="0"/>
            <w:vAlign w:val="center"/>
          </w:tcPr>
          <w:p>
            <w:pPr>
              <w:widowControl/>
              <w:adjustRightInd w:val="0"/>
              <w:snapToGrid w:val="0"/>
              <w:spacing w:line="0" w:lineRule="atLeast"/>
              <w:jc w:val="center"/>
              <w:rPr>
                <w:strike w:val="0"/>
                <w:dstrike w:val="0"/>
                <w:sz w:val="20"/>
                <w:szCs w:val="20"/>
              </w:rPr>
            </w:pPr>
            <w:r>
              <w:rPr>
                <w:rFonts w:hint="eastAsia"/>
                <w:strike w:val="0"/>
                <w:dstrike w:val="0"/>
                <w:sz w:val="20"/>
                <w:szCs w:val="20"/>
                <w:lang w:val="en-US" w:eastAsia="zh-CN"/>
              </w:rPr>
              <w:t>3</w:t>
            </w:r>
            <w:r>
              <w:rPr>
                <w:strike w:val="0"/>
                <w:dstrike w:val="0"/>
                <w:sz w:val="20"/>
                <w:szCs w:val="20"/>
              </w:rPr>
              <w:t>'</w:t>
            </w:r>
            <w:r>
              <w:rPr>
                <w:rFonts w:hint="eastAsia"/>
                <w:strike w:val="0"/>
                <w:dstrike w:val="0"/>
                <w:sz w:val="20"/>
                <w:szCs w:val="20"/>
                <w:lang w:val="en-US" w:eastAsia="zh-CN"/>
              </w:rPr>
              <w:t>30</w:t>
            </w:r>
            <w:r>
              <w:rPr>
                <w:strike w:val="0"/>
                <w:dstrike w:val="0"/>
                <w:sz w:val="20"/>
                <w:szCs w:val="20"/>
              </w:rPr>
              <w:t>″</w:t>
            </w:r>
          </w:p>
        </w:tc>
        <w:tc>
          <w:tcPr>
            <w:tcW w:w="1188" w:type="dxa"/>
            <w:noWrap w:val="0"/>
            <w:vAlign w:val="center"/>
          </w:tcPr>
          <w:p>
            <w:pPr>
              <w:widowControl/>
              <w:adjustRightInd w:val="0"/>
              <w:snapToGrid w:val="0"/>
              <w:spacing w:line="0" w:lineRule="atLeast"/>
              <w:jc w:val="center"/>
              <w:rPr>
                <w:strike w:val="0"/>
                <w:dstrike w:val="0"/>
                <w:spacing w:val="-10"/>
                <w:kern w:val="0"/>
                <w:sz w:val="20"/>
                <w:szCs w:val="20"/>
              </w:rPr>
            </w:pPr>
            <w:r>
              <w:rPr>
                <w:rFonts w:hint="eastAsia"/>
                <w:strike w:val="0"/>
                <w:dstrike w:val="0"/>
                <w:sz w:val="20"/>
                <w:szCs w:val="20"/>
                <w:lang w:val="en-US" w:eastAsia="zh-CN"/>
              </w:rPr>
              <w:t>3</w:t>
            </w:r>
            <w:r>
              <w:rPr>
                <w:strike w:val="0"/>
                <w:dstrike w:val="0"/>
                <w:sz w:val="20"/>
                <w:szCs w:val="20"/>
              </w:rPr>
              <w:t>'</w:t>
            </w:r>
            <w:r>
              <w:rPr>
                <w:rFonts w:hint="eastAsia"/>
                <w:strike w:val="0"/>
                <w:dstrike w:val="0"/>
                <w:sz w:val="20"/>
                <w:szCs w:val="20"/>
                <w:lang w:val="en-US" w:eastAsia="zh-CN"/>
              </w:rPr>
              <w:t>25</w:t>
            </w:r>
            <w:r>
              <w:rPr>
                <w:strike w:val="0"/>
                <w:dstrike w:val="0"/>
                <w:sz w:val="20"/>
                <w:szCs w:val="20"/>
              </w:rPr>
              <w:t>″</w:t>
            </w:r>
          </w:p>
        </w:tc>
        <w:tc>
          <w:tcPr>
            <w:tcW w:w="1192" w:type="dxa"/>
            <w:noWrap w:val="0"/>
            <w:vAlign w:val="center"/>
          </w:tcPr>
          <w:p>
            <w:pPr>
              <w:widowControl/>
              <w:adjustRightInd w:val="0"/>
              <w:snapToGrid w:val="0"/>
              <w:spacing w:line="0" w:lineRule="atLeast"/>
              <w:jc w:val="center"/>
              <w:rPr>
                <w:strike w:val="0"/>
                <w:dstrike w:val="0"/>
                <w:spacing w:val="-10"/>
                <w:kern w:val="0"/>
                <w:sz w:val="20"/>
                <w:szCs w:val="20"/>
              </w:rPr>
            </w:pPr>
            <w:r>
              <w:rPr>
                <w:rFonts w:hint="eastAsia"/>
                <w:strike w:val="0"/>
                <w:dstrike w:val="0"/>
                <w:sz w:val="20"/>
                <w:szCs w:val="20"/>
                <w:lang w:val="en-US" w:eastAsia="zh-CN"/>
              </w:rPr>
              <w:t>3</w:t>
            </w:r>
            <w:r>
              <w:rPr>
                <w:strike w:val="0"/>
                <w:dstrike w:val="0"/>
                <w:sz w:val="20"/>
                <w:szCs w:val="20"/>
              </w:rPr>
              <w:t>'</w:t>
            </w:r>
            <w:r>
              <w:rPr>
                <w:rFonts w:hint="eastAsia"/>
                <w:strike w:val="0"/>
                <w:dstrike w:val="0"/>
                <w:sz w:val="20"/>
                <w:szCs w:val="20"/>
                <w:lang w:val="en-US" w:eastAsia="zh-CN"/>
              </w:rPr>
              <w:t>2</w:t>
            </w:r>
            <w:r>
              <w:rPr>
                <w:strike w:val="0"/>
                <w:dstrike w:val="0"/>
                <w:sz w:val="20"/>
                <w:szCs w:val="20"/>
              </w:rPr>
              <w:t>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188" w:type="dxa"/>
            <w:noWrap w:val="0"/>
            <w:vAlign w:val="center"/>
          </w:tcPr>
          <w:p>
            <w:pPr>
              <w:spacing w:line="0" w:lineRule="atLeast"/>
              <w:jc w:val="center"/>
              <w:rPr>
                <w:b/>
                <w:bCs/>
                <w:sz w:val="18"/>
                <w:szCs w:val="18"/>
              </w:rPr>
            </w:pPr>
          </w:p>
          <w:p>
            <w:pPr>
              <w:spacing w:line="0" w:lineRule="atLeast"/>
              <w:jc w:val="center"/>
              <w:rPr>
                <w:b/>
                <w:bCs/>
                <w:sz w:val="24"/>
              </w:rPr>
            </w:pPr>
            <w:r>
              <w:rPr>
                <w:b/>
                <w:bCs/>
                <w:sz w:val="24"/>
              </w:rPr>
              <w:t>测试</w:t>
            </w:r>
          </w:p>
          <w:p>
            <w:pPr>
              <w:spacing w:line="0" w:lineRule="atLeast"/>
              <w:jc w:val="center"/>
              <w:rPr>
                <w:b/>
                <w:bCs/>
              </w:rPr>
            </w:pPr>
            <w:r>
              <w:rPr>
                <w:b/>
                <w:bCs/>
                <w:sz w:val="24"/>
              </w:rPr>
              <w:t>要求</w:t>
            </w:r>
          </w:p>
        </w:tc>
        <w:tc>
          <w:tcPr>
            <w:tcW w:w="13072" w:type="dxa"/>
            <w:gridSpan w:val="11"/>
            <w:noWrap w:val="0"/>
            <w:vAlign w:val="top"/>
          </w:tcPr>
          <w:p>
            <w:pPr>
              <w:adjustRightInd w:val="0"/>
              <w:snapToGrid w:val="0"/>
              <w:spacing w:line="0" w:lineRule="atLeast"/>
              <w:jc w:val="left"/>
              <w:textAlignment w:val="center"/>
              <w:rPr>
                <w:sz w:val="20"/>
                <w:szCs w:val="20"/>
              </w:rPr>
            </w:pPr>
            <w:r>
              <w:rPr>
                <w:sz w:val="20"/>
                <w:szCs w:val="20"/>
              </w:rPr>
              <w:t>1.分组考核。</w:t>
            </w:r>
          </w:p>
          <w:p>
            <w:pPr>
              <w:adjustRightInd w:val="0"/>
              <w:snapToGrid w:val="0"/>
              <w:spacing w:line="0" w:lineRule="atLeast"/>
              <w:jc w:val="left"/>
              <w:textAlignment w:val="center"/>
              <w:rPr>
                <w:sz w:val="20"/>
                <w:szCs w:val="20"/>
              </w:rPr>
            </w:pPr>
            <w:r>
              <w:rPr>
                <w:sz w:val="20"/>
                <w:szCs w:val="20"/>
              </w:rPr>
              <w:t>2.在跑道上标出起点线和终点线，考生从起点线处听到起跑口令后起跑，通过终点线记录时间。</w:t>
            </w:r>
          </w:p>
          <w:p>
            <w:pPr>
              <w:widowControl/>
              <w:adjustRightInd w:val="0"/>
              <w:snapToGrid w:val="0"/>
              <w:spacing w:line="0" w:lineRule="atLeast"/>
              <w:jc w:val="left"/>
              <w:rPr>
                <w:sz w:val="20"/>
                <w:szCs w:val="20"/>
              </w:rPr>
            </w:pPr>
            <w:r>
              <w:rPr>
                <w:sz w:val="20"/>
                <w:szCs w:val="20"/>
              </w:rPr>
              <w:t>3.抢跑犯规，重新组织起跑；同一人抢跑2次取消考试资格，跑出本道或用其他方式干扰、阻碍他人者不记录成绩。</w:t>
            </w:r>
          </w:p>
          <w:p>
            <w:pPr>
              <w:spacing w:line="0" w:lineRule="atLeast"/>
              <w:rPr>
                <w:sz w:val="32"/>
                <w:szCs w:val="40"/>
              </w:rPr>
            </w:pPr>
            <w:r>
              <w:rPr>
                <w:sz w:val="20"/>
                <w:szCs w:val="20"/>
              </w:rPr>
              <w:t>注意事项：1.禁止穿长钉跑鞋；2.有心脏疾病等不适合进行剧烈运动的人员不得参与体能测试，否则后果自负。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8" w:type="dxa"/>
            <w:noWrap w:val="0"/>
            <w:vAlign w:val="center"/>
          </w:tcPr>
          <w:p>
            <w:pPr>
              <w:spacing w:line="0" w:lineRule="atLeast"/>
              <w:jc w:val="center"/>
              <w:rPr>
                <w:b/>
                <w:bCs/>
                <w:sz w:val="24"/>
              </w:rPr>
            </w:pPr>
            <w:r>
              <w:rPr>
                <w:b/>
                <w:bCs/>
                <w:sz w:val="24"/>
              </w:rPr>
              <w:t>项目二</w:t>
            </w:r>
          </w:p>
        </w:tc>
        <w:tc>
          <w:tcPr>
            <w:tcW w:w="13072" w:type="dxa"/>
            <w:gridSpan w:val="11"/>
            <w:noWrap w:val="0"/>
            <w:vAlign w:val="top"/>
          </w:tcPr>
          <w:p>
            <w:pPr>
              <w:tabs>
                <w:tab w:val="left" w:pos="3305"/>
              </w:tabs>
              <w:spacing w:line="0" w:lineRule="atLeast"/>
              <w:rPr>
                <w:sz w:val="32"/>
                <w:szCs w:val="40"/>
              </w:rPr>
            </w:pPr>
            <w:r>
              <w:rPr>
                <w:sz w:val="32"/>
                <w:szCs w:val="40"/>
              </w:rPr>
              <w:tab/>
            </w:r>
            <w:r>
              <w:rPr>
                <w:b/>
                <w:bCs/>
                <w:kern w:val="0"/>
                <w:sz w:val="24"/>
              </w:rPr>
              <w:t>立定跳远（米）测试成绩对应分值、测试要求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r>
              <w:rPr>
                <w:b/>
                <w:bCs/>
                <w:sz w:val="18"/>
                <w:szCs w:val="18"/>
              </w:rPr>
              <w:t>分值</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57</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63</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66</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78</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82</w:t>
            </w:r>
            <w:r>
              <w:rPr>
                <w:kern w:val="0"/>
                <w:sz w:val="20"/>
                <w:szCs w:val="20"/>
              </w:rPr>
              <w:t>分</w:t>
            </w:r>
          </w:p>
        </w:tc>
        <w:tc>
          <w:tcPr>
            <w:tcW w:w="1188" w:type="dxa"/>
            <w:noWrap w:val="0"/>
            <w:vAlign w:val="center"/>
          </w:tcPr>
          <w:p>
            <w:pPr>
              <w:spacing w:line="0" w:lineRule="atLeast"/>
              <w:jc w:val="center"/>
              <w:rPr>
                <w:kern w:val="0"/>
                <w:sz w:val="20"/>
                <w:szCs w:val="20"/>
              </w:rPr>
            </w:pPr>
            <w:r>
              <w:rPr>
                <w:rFonts w:hint="eastAsia"/>
                <w:kern w:val="0"/>
                <w:sz w:val="20"/>
                <w:szCs w:val="20"/>
                <w:lang w:val="en-US" w:eastAsia="zh-CN"/>
              </w:rPr>
              <w:t>86</w:t>
            </w:r>
            <w:r>
              <w:rPr>
                <w:kern w:val="0"/>
                <w:sz w:val="20"/>
                <w:szCs w:val="20"/>
              </w:rPr>
              <w:t>分</w:t>
            </w:r>
          </w:p>
        </w:tc>
        <w:tc>
          <w:tcPr>
            <w:tcW w:w="1192"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90</w:t>
            </w:r>
            <w:r>
              <w:rPr>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r>
              <w:rPr>
                <w:b/>
                <w:bCs/>
                <w:sz w:val="18"/>
                <w:szCs w:val="18"/>
              </w:rPr>
              <w:t>男生</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05</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10</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15</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20</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25</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30</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35</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40</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45</w:t>
            </w:r>
          </w:p>
        </w:tc>
        <w:tc>
          <w:tcPr>
            <w:tcW w:w="1188" w:type="dxa"/>
            <w:noWrap w:val="0"/>
            <w:vAlign w:val="center"/>
          </w:tcPr>
          <w:p>
            <w:pPr>
              <w:widowControl/>
              <w:adjustRightInd w:val="0"/>
              <w:snapToGrid w:val="0"/>
              <w:spacing w:line="0" w:lineRule="atLeast"/>
              <w:jc w:val="center"/>
              <w:rPr>
                <w:rFonts w:hint="default" w:eastAsia="宋体"/>
                <w:kern w:val="0"/>
                <w:sz w:val="20"/>
                <w:szCs w:val="20"/>
                <w:lang w:val="en-US" w:eastAsia="zh-CN"/>
              </w:rPr>
            </w:pPr>
            <w:r>
              <w:rPr>
                <w:kern w:val="0"/>
                <w:sz w:val="20"/>
                <w:szCs w:val="20"/>
              </w:rPr>
              <w:t>2.</w:t>
            </w:r>
            <w:r>
              <w:rPr>
                <w:rFonts w:hint="eastAsia"/>
                <w:kern w:val="0"/>
                <w:sz w:val="20"/>
                <w:szCs w:val="20"/>
                <w:lang w:val="en-US" w:eastAsia="zh-CN"/>
              </w:rPr>
              <w:t>50</w:t>
            </w:r>
          </w:p>
        </w:tc>
        <w:tc>
          <w:tcPr>
            <w:tcW w:w="1192" w:type="dxa"/>
            <w:noWrap w:val="0"/>
            <w:vAlign w:val="center"/>
          </w:tcPr>
          <w:p>
            <w:pPr>
              <w:widowControl/>
              <w:adjustRightInd w:val="0"/>
              <w:snapToGrid w:val="0"/>
              <w:spacing w:line="0" w:lineRule="atLeast"/>
              <w:jc w:val="center"/>
              <w:rPr>
                <w:kern w:val="0"/>
                <w:sz w:val="20"/>
                <w:szCs w:val="20"/>
              </w:rPr>
            </w:pPr>
            <w:r>
              <w:rPr>
                <w:kern w:val="0"/>
                <w:sz w:val="20"/>
                <w:szCs w:val="20"/>
              </w:rPr>
              <w:t>2.</w:t>
            </w:r>
            <w:r>
              <w:rPr>
                <w:rFonts w:hint="eastAsia"/>
                <w:kern w:val="0"/>
                <w:sz w:val="20"/>
                <w:szCs w:val="20"/>
                <w:lang w:val="en-US" w:eastAsia="zh-CN"/>
              </w:rPr>
              <w:t>50</w:t>
            </w:r>
            <w:r>
              <w:rPr>
                <w:kern w:val="0"/>
                <w:sz w:val="20"/>
                <w:szCs w:val="2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女生</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1.90</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1.95</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2.00</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2.05</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2.10</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2.15</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rFonts w:hint="eastAsia"/>
                <w:strike w:val="0"/>
                <w:dstrike w:val="0"/>
                <w:kern w:val="0"/>
                <w:sz w:val="20"/>
                <w:szCs w:val="20"/>
                <w:lang w:val="en-US" w:eastAsia="zh-CN"/>
              </w:rPr>
              <w:t>2.20</w:t>
            </w:r>
          </w:p>
        </w:tc>
        <w:tc>
          <w:tcPr>
            <w:tcW w:w="1188" w:type="dxa"/>
            <w:noWrap w:val="0"/>
            <w:vAlign w:val="center"/>
          </w:tcPr>
          <w:p>
            <w:pPr>
              <w:widowControl/>
              <w:adjustRightInd w:val="0"/>
              <w:snapToGrid w:val="0"/>
              <w:spacing w:line="0" w:lineRule="atLeast"/>
              <w:jc w:val="center"/>
              <w:rPr>
                <w:strike w:val="0"/>
                <w:dstrike w:val="0"/>
                <w:kern w:val="0"/>
                <w:sz w:val="20"/>
                <w:szCs w:val="20"/>
              </w:rPr>
            </w:pPr>
            <w:r>
              <w:rPr>
                <w:strike w:val="0"/>
                <w:dstrike w:val="0"/>
                <w:kern w:val="0"/>
                <w:sz w:val="20"/>
                <w:szCs w:val="20"/>
              </w:rPr>
              <w:t>2.</w:t>
            </w:r>
            <w:r>
              <w:rPr>
                <w:rFonts w:hint="eastAsia"/>
                <w:strike w:val="0"/>
                <w:dstrike w:val="0"/>
                <w:kern w:val="0"/>
                <w:sz w:val="20"/>
                <w:szCs w:val="20"/>
                <w:lang w:val="en-US" w:eastAsia="zh-CN"/>
              </w:rPr>
              <w:t>2</w:t>
            </w:r>
            <w:r>
              <w:rPr>
                <w:strike w:val="0"/>
                <w:dstrike w:val="0"/>
                <w:kern w:val="0"/>
                <w:sz w:val="20"/>
                <w:szCs w:val="20"/>
              </w:rPr>
              <w:t>5</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strike w:val="0"/>
                <w:dstrike w:val="0"/>
                <w:kern w:val="0"/>
                <w:sz w:val="20"/>
                <w:szCs w:val="20"/>
              </w:rPr>
              <w:t>2.</w:t>
            </w:r>
            <w:r>
              <w:rPr>
                <w:rFonts w:hint="eastAsia"/>
                <w:strike w:val="0"/>
                <w:dstrike w:val="0"/>
                <w:kern w:val="0"/>
                <w:sz w:val="20"/>
                <w:szCs w:val="20"/>
                <w:lang w:val="en-US" w:eastAsia="zh-CN"/>
              </w:rPr>
              <w:t>30</w:t>
            </w:r>
          </w:p>
        </w:tc>
        <w:tc>
          <w:tcPr>
            <w:tcW w:w="1188" w:type="dxa"/>
            <w:noWrap w:val="0"/>
            <w:vAlign w:val="center"/>
          </w:tcPr>
          <w:p>
            <w:pPr>
              <w:widowControl/>
              <w:adjustRightInd w:val="0"/>
              <w:snapToGrid w:val="0"/>
              <w:spacing w:line="0" w:lineRule="atLeast"/>
              <w:jc w:val="center"/>
              <w:rPr>
                <w:rFonts w:hint="default" w:eastAsia="宋体"/>
                <w:strike w:val="0"/>
                <w:dstrike w:val="0"/>
                <w:kern w:val="0"/>
                <w:sz w:val="20"/>
                <w:szCs w:val="20"/>
                <w:lang w:val="en-US" w:eastAsia="zh-CN"/>
              </w:rPr>
            </w:pPr>
            <w:r>
              <w:rPr>
                <w:strike w:val="0"/>
                <w:dstrike w:val="0"/>
                <w:kern w:val="0"/>
                <w:sz w:val="20"/>
                <w:szCs w:val="20"/>
              </w:rPr>
              <w:t>2.</w:t>
            </w:r>
            <w:r>
              <w:rPr>
                <w:rFonts w:hint="eastAsia"/>
                <w:strike w:val="0"/>
                <w:dstrike w:val="0"/>
                <w:kern w:val="0"/>
                <w:sz w:val="20"/>
                <w:szCs w:val="20"/>
                <w:lang w:val="en-US" w:eastAsia="zh-CN"/>
              </w:rPr>
              <w:t>35</w:t>
            </w:r>
          </w:p>
        </w:tc>
        <w:tc>
          <w:tcPr>
            <w:tcW w:w="1192" w:type="dxa"/>
            <w:noWrap w:val="0"/>
            <w:vAlign w:val="center"/>
          </w:tcPr>
          <w:p>
            <w:pPr>
              <w:widowControl/>
              <w:adjustRightInd w:val="0"/>
              <w:snapToGrid w:val="0"/>
              <w:spacing w:line="0" w:lineRule="atLeast"/>
              <w:jc w:val="center"/>
              <w:rPr>
                <w:strike w:val="0"/>
                <w:dstrike w:val="0"/>
                <w:kern w:val="0"/>
                <w:sz w:val="20"/>
                <w:szCs w:val="20"/>
              </w:rPr>
            </w:pPr>
            <w:r>
              <w:rPr>
                <w:strike w:val="0"/>
                <w:dstrike w:val="0"/>
                <w:kern w:val="0"/>
                <w:sz w:val="20"/>
                <w:szCs w:val="20"/>
              </w:rPr>
              <w:t>2.</w:t>
            </w:r>
            <w:r>
              <w:rPr>
                <w:rFonts w:hint="eastAsia"/>
                <w:strike w:val="0"/>
                <w:dstrike w:val="0"/>
                <w:kern w:val="0"/>
                <w:sz w:val="20"/>
                <w:szCs w:val="20"/>
                <w:lang w:val="en-US" w:eastAsia="zh-CN"/>
              </w:rPr>
              <w:t>35</w:t>
            </w:r>
            <w:r>
              <w:rPr>
                <w:strike w:val="0"/>
                <w:dstrike w:val="0"/>
                <w:kern w:val="0"/>
                <w:sz w:val="20"/>
                <w:szCs w:val="2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pPr>
              <w:spacing w:line="0" w:lineRule="atLeast"/>
              <w:ind w:firstLine="241" w:firstLineChars="100"/>
              <w:jc w:val="center"/>
              <w:rPr>
                <w:b/>
                <w:bCs/>
                <w:sz w:val="24"/>
              </w:rPr>
            </w:pPr>
          </w:p>
          <w:p>
            <w:pPr>
              <w:adjustRightInd w:val="0"/>
              <w:snapToGrid w:val="0"/>
              <w:spacing w:line="0" w:lineRule="atLeast"/>
              <w:ind w:firstLine="181" w:firstLineChars="100"/>
              <w:jc w:val="center"/>
              <w:rPr>
                <w:b/>
                <w:bCs/>
                <w:sz w:val="18"/>
                <w:szCs w:val="18"/>
              </w:rPr>
            </w:pPr>
            <w:r>
              <w:rPr>
                <w:b/>
                <w:bCs/>
                <w:sz w:val="18"/>
                <w:szCs w:val="18"/>
              </w:rPr>
              <w:t>测试</w:t>
            </w:r>
          </w:p>
          <w:p>
            <w:pPr>
              <w:adjustRightInd w:val="0"/>
              <w:snapToGrid w:val="0"/>
              <w:spacing w:line="0" w:lineRule="atLeast"/>
              <w:ind w:firstLine="181" w:firstLineChars="100"/>
              <w:jc w:val="center"/>
              <w:rPr>
                <w:b/>
                <w:bCs/>
                <w:sz w:val="24"/>
              </w:rPr>
            </w:pPr>
            <w:r>
              <w:rPr>
                <w:b/>
                <w:bCs/>
                <w:sz w:val="18"/>
                <w:szCs w:val="18"/>
              </w:rPr>
              <w:t>要求</w:t>
            </w:r>
          </w:p>
        </w:tc>
        <w:tc>
          <w:tcPr>
            <w:tcW w:w="13072" w:type="dxa"/>
            <w:gridSpan w:val="11"/>
            <w:noWrap w:val="0"/>
            <w:vAlign w:val="top"/>
          </w:tcPr>
          <w:p>
            <w:pPr>
              <w:adjustRightInd w:val="0"/>
              <w:snapToGrid w:val="0"/>
              <w:spacing w:line="0" w:lineRule="atLeast"/>
              <w:jc w:val="left"/>
              <w:textAlignment w:val="center"/>
              <w:rPr>
                <w:sz w:val="20"/>
                <w:szCs w:val="20"/>
              </w:rPr>
            </w:pPr>
            <w:r>
              <w:rPr>
                <w:sz w:val="20"/>
                <w:szCs w:val="20"/>
              </w:rPr>
              <w:t>1.单个或分组考核。</w:t>
            </w:r>
          </w:p>
          <w:p>
            <w:pPr>
              <w:adjustRightInd w:val="0"/>
              <w:snapToGrid w:val="0"/>
              <w:spacing w:line="0" w:lineRule="atLeast"/>
              <w:jc w:val="left"/>
              <w:textAlignment w:val="center"/>
              <w:rPr>
                <w:sz w:val="20"/>
                <w:szCs w:val="20"/>
              </w:rPr>
            </w:pPr>
            <w:r>
              <w:rPr>
                <w:sz w:val="20"/>
                <w:szCs w:val="20"/>
              </w:rPr>
              <w:t>2.在跑道或平地上标出起跳线，考生站立在起跳线后，脚尖不得踩线，脚尖不得离开地面，两脚原地同时起跳，不得有助跑、垫步或连跳动作，测量起跳线后沿至身体任何着地最近点后沿的垂直距离。3次测试，记录成绩较好的1次。</w:t>
            </w:r>
          </w:p>
          <w:p>
            <w:pPr>
              <w:adjustRightInd w:val="0"/>
              <w:snapToGrid w:val="0"/>
              <w:spacing w:line="0" w:lineRule="atLeast"/>
              <w:jc w:val="left"/>
              <w:textAlignment w:val="center"/>
              <w:rPr>
                <w:sz w:val="20"/>
                <w:szCs w:val="20"/>
              </w:rPr>
            </w:pPr>
            <w:r>
              <w:rPr>
                <w:sz w:val="20"/>
                <w:szCs w:val="20"/>
              </w:rPr>
              <w:t>3.考核以完成跳出距离计算成绩。</w:t>
            </w:r>
          </w:p>
          <w:p>
            <w:pPr>
              <w:spacing w:line="0" w:lineRule="atLeast"/>
              <w:rPr>
                <w:sz w:val="32"/>
                <w:szCs w:val="40"/>
              </w:rPr>
            </w:pPr>
            <w:r>
              <w:rPr>
                <w:sz w:val="20"/>
                <w:szCs w:val="20"/>
              </w:rPr>
              <w:t>注意事项：1.禁止穿长钉跑鞋；2.有心脏疾病等不适合进行剧烈运动的人员不得参与体能测试，否则后果自负。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0" w:lineRule="atLeast"/>
              <w:jc w:val="center"/>
              <w:rPr>
                <w:b/>
                <w:bCs/>
                <w:sz w:val="24"/>
              </w:rPr>
            </w:pPr>
            <w:r>
              <w:rPr>
                <w:b/>
                <w:bCs/>
                <w:sz w:val="24"/>
              </w:rPr>
              <w:t>项目三</w:t>
            </w:r>
          </w:p>
        </w:tc>
        <w:tc>
          <w:tcPr>
            <w:tcW w:w="13072" w:type="dxa"/>
            <w:gridSpan w:val="11"/>
            <w:noWrap w:val="0"/>
            <w:vAlign w:val="top"/>
          </w:tcPr>
          <w:p>
            <w:pPr>
              <w:spacing w:line="0" w:lineRule="atLeast"/>
              <w:jc w:val="center"/>
              <w:rPr>
                <w:sz w:val="32"/>
                <w:szCs w:val="40"/>
              </w:rPr>
            </w:pPr>
            <w:r>
              <w:rPr>
                <w:b/>
                <w:bCs/>
                <w:kern w:val="0"/>
                <w:sz w:val="24"/>
              </w:rPr>
              <w:t>单杠引体向上（次/2分钟）测试成绩对应分值、测试要求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r>
              <w:rPr>
                <w:b/>
                <w:bCs/>
                <w:sz w:val="18"/>
                <w:szCs w:val="18"/>
              </w:rPr>
              <w:t>分值</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57</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63</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66</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78</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82</w:t>
            </w:r>
            <w:r>
              <w:rPr>
                <w:kern w:val="0"/>
                <w:sz w:val="20"/>
                <w:szCs w:val="20"/>
              </w:rPr>
              <w:t>分</w:t>
            </w:r>
          </w:p>
        </w:tc>
        <w:tc>
          <w:tcPr>
            <w:tcW w:w="1188" w:type="dxa"/>
            <w:noWrap w:val="0"/>
            <w:vAlign w:val="center"/>
          </w:tcPr>
          <w:p>
            <w:pPr>
              <w:spacing w:line="0" w:lineRule="atLeast"/>
              <w:jc w:val="center"/>
              <w:rPr>
                <w:kern w:val="0"/>
                <w:sz w:val="20"/>
                <w:szCs w:val="20"/>
              </w:rPr>
            </w:pPr>
            <w:r>
              <w:rPr>
                <w:rFonts w:hint="eastAsia"/>
                <w:kern w:val="0"/>
                <w:sz w:val="20"/>
                <w:szCs w:val="20"/>
                <w:lang w:val="en-US" w:eastAsia="zh-CN"/>
              </w:rPr>
              <w:t>86</w:t>
            </w:r>
            <w:r>
              <w:rPr>
                <w:kern w:val="0"/>
                <w:sz w:val="20"/>
                <w:szCs w:val="20"/>
              </w:rPr>
              <w:t>分</w:t>
            </w:r>
          </w:p>
        </w:tc>
        <w:tc>
          <w:tcPr>
            <w:tcW w:w="1192"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90</w:t>
            </w:r>
            <w:r>
              <w:rPr>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r>
              <w:rPr>
                <w:b/>
                <w:bCs/>
                <w:sz w:val="18"/>
                <w:szCs w:val="18"/>
              </w:rPr>
              <w:t>男生</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6</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7</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8</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9</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10</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11</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12</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13</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14</w:t>
            </w:r>
          </w:p>
        </w:tc>
        <w:tc>
          <w:tcPr>
            <w:tcW w:w="1192" w:type="dxa"/>
            <w:noWrap w:val="0"/>
            <w:vAlign w:val="center"/>
          </w:tcPr>
          <w:p>
            <w:pPr>
              <w:widowControl/>
              <w:adjustRightInd w:val="0"/>
              <w:snapToGrid w:val="0"/>
              <w:spacing w:line="0" w:lineRule="atLeast"/>
              <w:jc w:val="center"/>
              <w:rPr>
                <w:kern w:val="0"/>
                <w:sz w:val="20"/>
                <w:szCs w:val="20"/>
              </w:rPr>
            </w:pPr>
            <w:r>
              <w:rPr>
                <w:kern w:val="0"/>
                <w:sz w:val="20"/>
                <w:szCs w:val="20"/>
              </w:rPr>
              <w:t>14以上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测试</w:t>
            </w:r>
          </w:p>
          <w:p>
            <w:pPr>
              <w:adjustRightInd w:val="0"/>
              <w:snapToGrid w:val="0"/>
              <w:spacing w:line="0" w:lineRule="atLeast"/>
              <w:ind w:firstLine="181" w:firstLineChars="100"/>
              <w:jc w:val="center"/>
              <w:rPr>
                <w:b/>
                <w:bCs/>
                <w:sz w:val="18"/>
                <w:szCs w:val="18"/>
              </w:rPr>
            </w:pPr>
            <w:r>
              <w:rPr>
                <w:b/>
                <w:bCs/>
                <w:sz w:val="18"/>
                <w:szCs w:val="18"/>
              </w:rPr>
              <w:t>要求</w:t>
            </w:r>
          </w:p>
        </w:tc>
        <w:tc>
          <w:tcPr>
            <w:tcW w:w="13072" w:type="dxa"/>
            <w:gridSpan w:val="11"/>
            <w:noWrap w:val="0"/>
            <w:vAlign w:val="top"/>
          </w:tcPr>
          <w:p>
            <w:pPr>
              <w:pStyle w:val="24"/>
              <w:tabs>
                <w:tab w:val="left" w:pos="695"/>
              </w:tabs>
              <w:spacing w:line="0" w:lineRule="atLeast"/>
              <w:rPr>
                <w:rFonts w:ascii="Times New Roman" w:hAnsi="Times New Roman" w:cs="Times New Roman"/>
                <w:sz w:val="20"/>
                <w:szCs w:val="22"/>
              </w:rPr>
            </w:pPr>
            <w:r>
              <w:rPr>
                <w:rFonts w:ascii="Times New Roman" w:hAnsi="Times New Roman" w:cs="Times New Roman"/>
                <w:sz w:val="20"/>
                <w:szCs w:val="22"/>
                <w:lang w:val="en-US"/>
              </w:rPr>
              <w:t>1.</w:t>
            </w:r>
            <w:r>
              <w:rPr>
                <w:rFonts w:ascii="Times New Roman" w:hAnsi="Times New Roman" w:cs="Times New Roman"/>
                <w:sz w:val="20"/>
                <w:szCs w:val="22"/>
              </w:rPr>
              <w:t>单个或分组考核。</w:t>
            </w:r>
          </w:p>
          <w:p>
            <w:pPr>
              <w:pStyle w:val="24"/>
              <w:tabs>
                <w:tab w:val="left" w:pos="695"/>
              </w:tabs>
              <w:spacing w:line="0" w:lineRule="atLeast"/>
              <w:ind w:right="79"/>
              <w:jc w:val="left"/>
              <w:rPr>
                <w:rFonts w:ascii="Times New Roman" w:hAnsi="Times New Roman" w:cs="Times New Roman"/>
                <w:sz w:val="20"/>
                <w:szCs w:val="22"/>
              </w:rPr>
            </w:pPr>
            <w:r>
              <w:rPr>
                <w:rFonts w:ascii="Times New Roman" w:hAnsi="Times New Roman" w:cs="Times New Roman"/>
                <w:spacing w:val="-6"/>
                <w:sz w:val="20"/>
                <w:szCs w:val="22"/>
                <w:lang w:val="en-US"/>
              </w:rPr>
              <w:t>2.</w:t>
            </w:r>
            <w:r>
              <w:rPr>
                <w:rFonts w:ascii="Times New Roman" w:hAnsi="Times New Roman" w:cs="Times New Roman"/>
                <w:spacing w:val="-6"/>
                <w:sz w:val="20"/>
                <w:szCs w:val="22"/>
              </w:rPr>
              <w:t>按照规定动作要领完成动作。引体时下颌高于杠面、身体不得借助振浪</w:t>
            </w:r>
            <w:r>
              <w:rPr>
                <w:rFonts w:ascii="Times New Roman" w:hAnsi="Times New Roman" w:cs="Times New Roman"/>
                <w:sz w:val="20"/>
                <w:szCs w:val="22"/>
              </w:rPr>
              <w:t>或摆动、悬垂时双肘关节伸直；脚触及地面或立柱，结束考核。</w:t>
            </w:r>
          </w:p>
          <w:p>
            <w:pPr>
              <w:spacing w:line="0" w:lineRule="atLeast"/>
              <w:rPr>
                <w:sz w:val="20"/>
                <w:szCs w:val="22"/>
              </w:rPr>
            </w:pPr>
            <w:r>
              <w:rPr>
                <w:sz w:val="20"/>
                <w:szCs w:val="22"/>
              </w:rPr>
              <w:t>3.考核以完成次数计算成绩。</w:t>
            </w:r>
          </w:p>
          <w:p>
            <w:pPr>
              <w:spacing w:line="0" w:lineRule="atLeast"/>
              <w:rPr>
                <w:sz w:val="20"/>
                <w:szCs w:val="22"/>
              </w:rPr>
            </w:pPr>
            <w:r>
              <w:rPr>
                <w:sz w:val="20"/>
                <w:szCs w:val="20"/>
              </w:rPr>
              <w:t>注意事项：有心脏疾病等不适合进行剧烈运动的人员不得参与体能测试，否则后果自负。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0" w:lineRule="atLeast"/>
              <w:jc w:val="center"/>
              <w:rPr>
                <w:b/>
                <w:bCs/>
                <w:sz w:val="24"/>
              </w:rPr>
            </w:pPr>
            <w:r>
              <w:rPr>
                <w:b/>
                <w:bCs/>
                <w:sz w:val="24"/>
              </w:rPr>
              <w:t>项目三</w:t>
            </w:r>
          </w:p>
        </w:tc>
        <w:tc>
          <w:tcPr>
            <w:tcW w:w="13072" w:type="dxa"/>
            <w:gridSpan w:val="11"/>
            <w:noWrap w:val="0"/>
            <w:vAlign w:val="center"/>
          </w:tcPr>
          <w:p>
            <w:pPr>
              <w:widowControl/>
              <w:adjustRightInd w:val="0"/>
              <w:snapToGrid w:val="0"/>
              <w:spacing w:line="0" w:lineRule="atLeast"/>
              <w:jc w:val="center"/>
              <w:rPr>
                <w:spacing w:val="-10"/>
                <w:kern w:val="0"/>
                <w:sz w:val="24"/>
              </w:rPr>
            </w:pPr>
            <w:r>
              <w:rPr>
                <w:b/>
                <w:bCs/>
                <w:kern w:val="0"/>
                <w:sz w:val="24"/>
              </w:rPr>
              <w:t>仰卧起坐（次/120秒）测试成绩对应分值、测试要求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分值</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54</w:t>
            </w:r>
            <w:r>
              <w:rPr>
                <w:kern w:val="0"/>
                <w:sz w:val="20"/>
                <w:szCs w:val="20"/>
              </w:rPr>
              <w:t>分</w:t>
            </w:r>
          </w:p>
        </w:tc>
        <w:tc>
          <w:tcPr>
            <w:tcW w:w="1188"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57</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63</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66</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78</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82</w:t>
            </w:r>
            <w:r>
              <w:rPr>
                <w:kern w:val="0"/>
                <w:sz w:val="20"/>
                <w:szCs w:val="20"/>
              </w:rPr>
              <w:t>分</w:t>
            </w:r>
          </w:p>
        </w:tc>
        <w:tc>
          <w:tcPr>
            <w:tcW w:w="1188" w:type="dxa"/>
            <w:noWrap w:val="0"/>
            <w:vAlign w:val="center"/>
          </w:tcPr>
          <w:p>
            <w:pPr>
              <w:spacing w:line="0" w:lineRule="atLeast"/>
              <w:jc w:val="center"/>
              <w:rPr>
                <w:spacing w:val="-10"/>
                <w:kern w:val="0"/>
                <w:sz w:val="20"/>
                <w:szCs w:val="20"/>
              </w:rPr>
            </w:pPr>
            <w:r>
              <w:rPr>
                <w:rFonts w:hint="eastAsia"/>
                <w:kern w:val="0"/>
                <w:sz w:val="20"/>
                <w:szCs w:val="20"/>
                <w:lang w:val="en-US" w:eastAsia="zh-CN"/>
              </w:rPr>
              <w:t>86</w:t>
            </w:r>
            <w:r>
              <w:rPr>
                <w:kern w:val="0"/>
                <w:sz w:val="20"/>
                <w:szCs w:val="20"/>
              </w:rPr>
              <w:t>分</w:t>
            </w:r>
          </w:p>
        </w:tc>
        <w:tc>
          <w:tcPr>
            <w:tcW w:w="1192"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90</w:t>
            </w:r>
            <w:r>
              <w:rPr>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女生</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50</w:t>
            </w:r>
          </w:p>
        </w:tc>
        <w:tc>
          <w:tcPr>
            <w:tcW w:w="1188" w:type="dxa"/>
            <w:noWrap w:val="0"/>
            <w:vAlign w:val="center"/>
          </w:tcPr>
          <w:p>
            <w:pPr>
              <w:widowControl/>
              <w:adjustRightInd w:val="0"/>
              <w:snapToGrid w:val="0"/>
              <w:spacing w:line="0" w:lineRule="atLeast"/>
              <w:jc w:val="center"/>
              <w:rPr>
                <w:spacing w:val="-10"/>
                <w:kern w:val="0"/>
                <w:sz w:val="20"/>
                <w:szCs w:val="20"/>
              </w:rPr>
            </w:pPr>
            <w:r>
              <w:rPr>
                <w:kern w:val="0"/>
                <w:sz w:val="20"/>
                <w:szCs w:val="20"/>
              </w:rPr>
              <w:t>51</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52</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53</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54</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55</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56</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57</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58</w:t>
            </w:r>
          </w:p>
        </w:tc>
        <w:tc>
          <w:tcPr>
            <w:tcW w:w="1188" w:type="dxa"/>
            <w:noWrap w:val="0"/>
            <w:vAlign w:val="center"/>
          </w:tcPr>
          <w:p>
            <w:pPr>
              <w:widowControl/>
              <w:adjustRightInd w:val="0"/>
              <w:snapToGrid w:val="0"/>
              <w:spacing w:line="0" w:lineRule="atLeast"/>
              <w:jc w:val="center"/>
              <w:rPr>
                <w:kern w:val="0"/>
                <w:sz w:val="20"/>
                <w:szCs w:val="20"/>
              </w:rPr>
            </w:pPr>
            <w:r>
              <w:rPr>
                <w:kern w:val="0"/>
                <w:sz w:val="20"/>
                <w:szCs w:val="20"/>
              </w:rPr>
              <w:t>59</w:t>
            </w:r>
          </w:p>
        </w:tc>
        <w:tc>
          <w:tcPr>
            <w:tcW w:w="1192" w:type="dxa"/>
            <w:noWrap w:val="0"/>
            <w:vAlign w:val="center"/>
          </w:tcPr>
          <w:p>
            <w:pPr>
              <w:widowControl/>
              <w:adjustRightInd w:val="0"/>
              <w:snapToGrid w:val="0"/>
              <w:spacing w:line="0" w:lineRule="atLeast"/>
              <w:jc w:val="center"/>
              <w:rPr>
                <w:kern w:val="0"/>
                <w:sz w:val="20"/>
                <w:szCs w:val="20"/>
              </w:rPr>
            </w:pPr>
            <w:r>
              <w:rPr>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测试</w:t>
            </w:r>
          </w:p>
          <w:p>
            <w:pPr>
              <w:adjustRightInd w:val="0"/>
              <w:snapToGrid w:val="0"/>
              <w:spacing w:line="0" w:lineRule="atLeast"/>
              <w:ind w:firstLine="181" w:firstLineChars="100"/>
              <w:jc w:val="center"/>
              <w:rPr>
                <w:b/>
                <w:bCs/>
                <w:sz w:val="18"/>
                <w:szCs w:val="18"/>
              </w:rPr>
            </w:pPr>
            <w:r>
              <w:rPr>
                <w:b/>
                <w:bCs/>
                <w:sz w:val="18"/>
                <w:szCs w:val="18"/>
              </w:rPr>
              <w:t>要求</w:t>
            </w:r>
          </w:p>
        </w:tc>
        <w:tc>
          <w:tcPr>
            <w:tcW w:w="13072" w:type="dxa"/>
            <w:gridSpan w:val="11"/>
            <w:noWrap w:val="0"/>
            <w:vAlign w:val="top"/>
          </w:tcPr>
          <w:p>
            <w:pPr>
              <w:pStyle w:val="24"/>
              <w:tabs>
                <w:tab w:val="left" w:pos="695"/>
              </w:tabs>
              <w:spacing w:line="0" w:lineRule="atLeast"/>
              <w:jc w:val="left"/>
              <w:rPr>
                <w:rFonts w:ascii="Times New Roman" w:hAnsi="Times New Roman" w:cs="Times New Roman"/>
                <w:sz w:val="20"/>
                <w:szCs w:val="22"/>
              </w:rPr>
            </w:pPr>
            <w:r>
              <w:rPr>
                <w:rFonts w:ascii="Times New Roman" w:hAnsi="Times New Roman" w:cs="Times New Roman"/>
                <w:sz w:val="20"/>
                <w:szCs w:val="22"/>
                <w:lang w:val="en-US"/>
              </w:rPr>
              <w:t>1.</w:t>
            </w:r>
            <w:r>
              <w:rPr>
                <w:rFonts w:ascii="Times New Roman" w:hAnsi="Times New Roman" w:cs="Times New Roman"/>
                <w:sz w:val="20"/>
                <w:szCs w:val="22"/>
              </w:rPr>
              <w:t>单个或分组考核。</w:t>
            </w:r>
          </w:p>
          <w:p>
            <w:pPr>
              <w:pStyle w:val="24"/>
              <w:tabs>
                <w:tab w:val="left" w:pos="695"/>
              </w:tabs>
              <w:spacing w:line="0" w:lineRule="atLeast"/>
              <w:ind w:right="79"/>
              <w:jc w:val="left"/>
              <w:rPr>
                <w:rFonts w:ascii="Times New Roman" w:hAnsi="Times New Roman" w:cs="Times New Roman"/>
                <w:sz w:val="20"/>
                <w:szCs w:val="22"/>
              </w:rPr>
            </w:pPr>
            <w:r>
              <w:rPr>
                <w:rFonts w:ascii="Times New Roman" w:hAnsi="Times New Roman" w:cs="Times New Roman"/>
                <w:spacing w:val="-6"/>
                <w:sz w:val="20"/>
                <w:szCs w:val="22"/>
                <w:lang w:val="en-US"/>
              </w:rPr>
              <w:t>2.</w:t>
            </w:r>
            <w:r>
              <w:rPr>
                <w:rFonts w:ascii="Times New Roman" w:hAnsi="Times New Roman" w:cs="Times New Roman"/>
                <w:spacing w:val="-6"/>
                <w:sz w:val="20"/>
                <w:szCs w:val="22"/>
              </w:rPr>
              <w:t>按照规定动作要领完成动作。双脚踝关节固定，上体后仰时肩背部触及</w:t>
            </w:r>
            <w:r>
              <w:rPr>
                <w:rFonts w:ascii="Times New Roman" w:hAnsi="Times New Roman" w:cs="Times New Roman"/>
                <w:sz w:val="20"/>
                <w:szCs w:val="22"/>
              </w:rPr>
              <w:t>垫子、坐起时双肘触及膝部、双手扶耳。</w:t>
            </w:r>
          </w:p>
          <w:p>
            <w:pPr>
              <w:spacing w:line="0" w:lineRule="atLeast"/>
              <w:rPr>
                <w:sz w:val="20"/>
                <w:szCs w:val="22"/>
              </w:rPr>
            </w:pPr>
            <w:r>
              <w:rPr>
                <w:sz w:val="20"/>
                <w:szCs w:val="22"/>
              </w:rPr>
              <w:t>3.考核以完成次数计算成绩。</w:t>
            </w:r>
          </w:p>
          <w:p>
            <w:pPr>
              <w:spacing w:line="0" w:lineRule="atLeast"/>
              <w:rPr>
                <w:sz w:val="20"/>
                <w:szCs w:val="22"/>
              </w:rPr>
            </w:pPr>
            <w:r>
              <w:rPr>
                <w:sz w:val="20"/>
                <w:szCs w:val="20"/>
              </w:rPr>
              <w:t>注意事项：有心脏疾病等不适合进行剧烈运动的人员不得参与体能测试，否则后果自负。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0" w:lineRule="atLeast"/>
              <w:jc w:val="center"/>
              <w:rPr>
                <w:b/>
                <w:bCs/>
                <w:sz w:val="24"/>
              </w:rPr>
            </w:pPr>
            <w:r>
              <w:rPr>
                <w:b/>
                <w:bCs/>
                <w:sz w:val="24"/>
              </w:rPr>
              <w:t>项目四</w:t>
            </w:r>
          </w:p>
        </w:tc>
        <w:tc>
          <w:tcPr>
            <w:tcW w:w="13072" w:type="dxa"/>
            <w:gridSpan w:val="11"/>
            <w:noWrap w:val="0"/>
            <w:vAlign w:val="top"/>
          </w:tcPr>
          <w:p>
            <w:pPr>
              <w:spacing w:line="0" w:lineRule="atLeast"/>
              <w:jc w:val="center"/>
              <w:rPr>
                <w:sz w:val="32"/>
                <w:szCs w:val="40"/>
              </w:rPr>
            </w:pPr>
            <w:r>
              <w:rPr>
                <w:b/>
                <w:bCs/>
                <w:kern w:val="0"/>
                <w:sz w:val="24"/>
              </w:rPr>
              <w:t>4*10米折返跑体能测试成绩对应分值、测试要求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分值</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54</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57</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60</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63</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66</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rPr>
            </w:pPr>
            <w:r>
              <w:rPr>
                <w:rFonts w:hint="eastAsia"/>
                <w:kern w:val="0"/>
                <w:sz w:val="20"/>
                <w:szCs w:val="20"/>
                <w:lang w:val="en-US" w:eastAsia="zh-CN"/>
              </w:rPr>
              <w:t>70</w:t>
            </w:r>
            <w:r>
              <w:rPr>
                <w:kern w:val="0"/>
                <w:sz w:val="20"/>
                <w:szCs w:val="20"/>
              </w:rPr>
              <w:t>分</w:t>
            </w:r>
          </w:p>
        </w:tc>
        <w:tc>
          <w:tcPr>
            <w:tcW w:w="1188"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74</w:t>
            </w:r>
            <w:r>
              <w:rPr>
                <w:kern w:val="0"/>
                <w:sz w:val="20"/>
                <w:szCs w:val="20"/>
              </w:rPr>
              <w:t>分</w:t>
            </w:r>
          </w:p>
        </w:tc>
        <w:tc>
          <w:tcPr>
            <w:tcW w:w="1188"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78</w:t>
            </w:r>
            <w:r>
              <w:rPr>
                <w:kern w:val="0"/>
                <w:sz w:val="20"/>
                <w:szCs w:val="20"/>
              </w:rPr>
              <w:t>分</w:t>
            </w:r>
          </w:p>
        </w:tc>
        <w:tc>
          <w:tcPr>
            <w:tcW w:w="1188" w:type="dxa"/>
            <w:noWrap w:val="0"/>
            <w:vAlign w:val="center"/>
          </w:tcPr>
          <w:p>
            <w:pPr>
              <w:widowControl/>
              <w:adjustRightInd w:val="0"/>
              <w:snapToGrid w:val="0"/>
              <w:spacing w:line="0" w:lineRule="atLeast"/>
              <w:jc w:val="center"/>
              <w:rPr>
                <w:kern w:val="0"/>
                <w:sz w:val="20"/>
                <w:szCs w:val="20"/>
                <w:highlight w:val="darkGray"/>
              </w:rPr>
            </w:pPr>
            <w:r>
              <w:rPr>
                <w:rFonts w:hint="eastAsia"/>
                <w:kern w:val="0"/>
                <w:sz w:val="20"/>
                <w:szCs w:val="20"/>
                <w:lang w:val="en-US" w:eastAsia="zh-CN"/>
              </w:rPr>
              <w:t>82</w:t>
            </w:r>
            <w:r>
              <w:rPr>
                <w:kern w:val="0"/>
                <w:sz w:val="20"/>
                <w:szCs w:val="20"/>
              </w:rPr>
              <w:t>分</w:t>
            </w:r>
          </w:p>
        </w:tc>
        <w:tc>
          <w:tcPr>
            <w:tcW w:w="1188" w:type="dxa"/>
            <w:noWrap w:val="0"/>
            <w:vAlign w:val="center"/>
          </w:tcPr>
          <w:p>
            <w:pPr>
              <w:spacing w:line="0" w:lineRule="atLeast"/>
              <w:jc w:val="center"/>
              <w:rPr>
                <w:spacing w:val="-10"/>
                <w:kern w:val="0"/>
                <w:sz w:val="20"/>
                <w:szCs w:val="20"/>
              </w:rPr>
            </w:pPr>
            <w:r>
              <w:rPr>
                <w:rFonts w:hint="eastAsia"/>
                <w:kern w:val="0"/>
                <w:sz w:val="20"/>
                <w:szCs w:val="20"/>
                <w:lang w:val="en-US" w:eastAsia="zh-CN"/>
              </w:rPr>
              <w:t>86</w:t>
            </w:r>
            <w:r>
              <w:rPr>
                <w:kern w:val="0"/>
                <w:sz w:val="20"/>
                <w:szCs w:val="20"/>
              </w:rPr>
              <w:t>分</w:t>
            </w:r>
          </w:p>
        </w:tc>
        <w:tc>
          <w:tcPr>
            <w:tcW w:w="1192" w:type="dxa"/>
            <w:noWrap w:val="0"/>
            <w:vAlign w:val="center"/>
          </w:tcPr>
          <w:p>
            <w:pPr>
              <w:widowControl/>
              <w:adjustRightInd w:val="0"/>
              <w:snapToGrid w:val="0"/>
              <w:spacing w:line="0" w:lineRule="atLeast"/>
              <w:jc w:val="center"/>
              <w:rPr>
                <w:spacing w:val="-10"/>
                <w:kern w:val="0"/>
                <w:sz w:val="20"/>
                <w:szCs w:val="20"/>
              </w:rPr>
            </w:pPr>
            <w:r>
              <w:rPr>
                <w:rFonts w:hint="eastAsia"/>
                <w:kern w:val="0"/>
                <w:sz w:val="20"/>
                <w:szCs w:val="20"/>
                <w:lang w:val="en-US" w:eastAsia="zh-CN"/>
              </w:rPr>
              <w:t>90</w:t>
            </w:r>
            <w:r>
              <w:rPr>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adjustRightInd w:val="0"/>
              <w:snapToGrid w:val="0"/>
              <w:spacing w:line="0" w:lineRule="atLeast"/>
              <w:ind w:firstLine="181" w:firstLineChars="100"/>
              <w:jc w:val="center"/>
              <w:rPr>
                <w:b/>
                <w:bCs/>
                <w:sz w:val="18"/>
                <w:szCs w:val="18"/>
              </w:rPr>
            </w:pPr>
            <w:r>
              <w:rPr>
                <w:b/>
                <w:bCs/>
                <w:sz w:val="18"/>
                <w:szCs w:val="18"/>
              </w:rPr>
              <w:t>男生</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12″</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11″5</w:t>
            </w:r>
          </w:p>
        </w:tc>
        <w:tc>
          <w:tcPr>
            <w:tcW w:w="1188" w:type="dxa"/>
            <w:noWrap w:val="0"/>
            <w:vAlign w:val="center"/>
          </w:tcPr>
          <w:p>
            <w:pPr>
              <w:widowControl/>
              <w:adjustRightInd w:val="0"/>
              <w:snapToGrid w:val="0"/>
              <w:spacing w:line="0" w:lineRule="atLeast"/>
              <w:ind w:left="-8" w:leftChars="-77" w:right="-113" w:rightChars="-54" w:hanging="154" w:hangingChars="77"/>
              <w:jc w:val="center"/>
              <w:rPr>
                <w:kern w:val="0"/>
                <w:sz w:val="20"/>
                <w:szCs w:val="20"/>
              </w:rPr>
            </w:pPr>
            <w:r>
              <w:rPr>
                <w:sz w:val="20"/>
                <w:szCs w:val="20"/>
              </w:rPr>
              <w:t>11″</w:t>
            </w:r>
          </w:p>
        </w:tc>
        <w:tc>
          <w:tcPr>
            <w:tcW w:w="1188" w:type="dxa"/>
            <w:noWrap w:val="0"/>
            <w:vAlign w:val="center"/>
          </w:tcPr>
          <w:p>
            <w:pPr>
              <w:adjustRightInd w:val="0"/>
              <w:snapToGrid w:val="0"/>
              <w:spacing w:line="0" w:lineRule="atLeast"/>
              <w:ind w:left="-8" w:leftChars="-77" w:right="-113" w:rightChars="-54" w:hanging="154" w:hangingChars="77"/>
              <w:jc w:val="center"/>
              <w:textAlignment w:val="center"/>
              <w:rPr>
                <w:kern w:val="0"/>
                <w:sz w:val="20"/>
                <w:szCs w:val="20"/>
              </w:rPr>
            </w:pPr>
            <w:r>
              <w:rPr>
                <w:sz w:val="20"/>
                <w:szCs w:val="20"/>
              </w:rPr>
              <w:t>10″5</w:t>
            </w:r>
          </w:p>
        </w:tc>
        <w:tc>
          <w:tcPr>
            <w:tcW w:w="1188" w:type="dxa"/>
            <w:noWrap w:val="0"/>
            <w:vAlign w:val="center"/>
          </w:tcPr>
          <w:p>
            <w:pPr>
              <w:widowControl/>
              <w:tabs>
                <w:tab w:val="center" w:pos="332"/>
                <w:tab w:val="left" w:pos="582"/>
              </w:tabs>
              <w:adjustRightInd w:val="0"/>
              <w:snapToGrid w:val="0"/>
              <w:spacing w:line="0" w:lineRule="atLeast"/>
              <w:ind w:left="-8" w:leftChars="-77" w:right="-113" w:rightChars="-54" w:hanging="154" w:hangingChars="77"/>
              <w:jc w:val="center"/>
              <w:rPr>
                <w:kern w:val="0"/>
                <w:sz w:val="20"/>
                <w:szCs w:val="20"/>
              </w:rPr>
            </w:pPr>
            <w:r>
              <w:rPr>
                <w:sz w:val="20"/>
                <w:szCs w:val="20"/>
              </w:rPr>
              <w:t>10″</w:t>
            </w:r>
          </w:p>
        </w:tc>
        <w:tc>
          <w:tcPr>
            <w:tcW w:w="1188" w:type="dxa"/>
            <w:noWrap w:val="0"/>
            <w:vAlign w:val="center"/>
          </w:tcPr>
          <w:p>
            <w:pPr>
              <w:widowControl/>
              <w:adjustRightInd w:val="0"/>
              <w:snapToGrid w:val="0"/>
              <w:spacing w:line="0" w:lineRule="atLeast"/>
              <w:ind w:left="-8" w:leftChars="-77" w:right="-113" w:rightChars="-54" w:hanging="154" w:hangingChars="77"/>
              <w:jc w:val="center"/>
              <w:rPr>
                <w:kern w:val="0"/>
                <w:sz w:val="20"/>
                <w:szCs w:val="20"/>
              </w:rPr>
            </w:pPr>
            <w:r>
              <w:rPr>
                <w:sz w:val="20"/>
                <w:szCs w:val="20"/>
              </w:rPr>
              <w:t>9″5</w:t>
            </w:r>
          </w:p>
        </w:tc>
        <w:tc>
          <w:tcPr>
            <w:tcW w:w="1188" w:type="dxa"/>
            <w:noWrap w:val="0"/>
            <w:vAlign w:val="center"/>
          </w:tcPr>
          <w:p>
            <w:pPr>
              <w:widowControl/>
              <w:adjustRightInd w:val="0"/>
              <w:snapToGrid w:val="0"/>
              <w:spacing w:line="0" w:lineRule="atLeast"/>
              <w:ind w:left="-8" w:leftChars="-77" w:right="-113" w:rightChars="-54" w:hanging="154" w:hangingChars="77"/>
              <w:jc w:val="center"/>
              <w:rPr>
                <w:spacing w:val="-10"/>
                <w:kern w:val="0"/>
                <w:sz w:val="20"/>
                <w:szCs w:val="20"/>
              </w:rPr>
            </w:pPr>
            <w:r>
              <w:rPr>
                <w:sz w:val="20"/>
                <w:szCs w:val="20"/>
              </w:rPr>
              <w:t>9″2</w:t>
            </w:r>
          </w:p>
        </w:tc>
        <w:tc>
          <w:tcPr>
            <w:tcW w:w="1188" w:type="dxa"/>
            <w:noWrap w:val="0"/>
            <w:vAlign w:val="center"/>
          </w:tcPr>
          <w:p>
            <w:pPr>
              <w:widowControl/>
              <w:adjustRightInd w:val="0"/>
              <w:snapToGrid w:val="0"/>
              <w:spacing w:line="0" w:lineRule="atLeast"/>
              <w:jc w:val="center"/>
              <w:rPr>
                <w:spacing w:val="-10"/>
                <w:kern w:val="0"/>
                <w:sz w:val="20"/>
                <w:szCs w:val="20"/>
              </w:rPr>
            </w:pPr>
            <w:r>
              <w:rPr>
                <w:sz w:val="20"/>
                <w:szCs w:val="20"/>
              </w:rPr>
              <w:t>8″9</w:t>
            </w:r>
          </w:p>
        </w:tc>
        <w:tc>
          <w:tcPr>
            <w:tcW w:w="1188" w:type="dxa"/>
            <w:noWrap w:val="0"/>
            <w:vAlign w:val="center"/>
          </w:tcPr>
          <w:p>
            <w:pPr>
              <w:widowControl/>
              <w:adjustRightInd w:val="0"/>
              <w:snapToGrid w:val="0"/>
              <w:spacing w:line="0" w:lineRule="atLeast"/>
              <w:jc w:val="center"/>
              <w:rPr>
                <w:kern w:val="0"/>
                <w:sz w:val="20"/>
                <w:szCs w:val="20"/>
                <w:highlight w:val="darkGray"/>
              </w:rPr>
            </w:pPr>
            <w:r>
              <w:rPr>
                <w:sz w:val="20"/>
                <w:szCs w:val="20"/>
              </w:rPr>
              <w:t>8″6</w:t>
            </w:r>
          </w:p>
        </w:tc>
        <w:tc>
          <w:tcPr>
            <w:tcW w:w="1188" w:type="dxa"/>
            <w:noWrap w:val="0"/>
            <w:vAlign w:val="center"/>
          </w:tcPr>
          <w:p>
            <w:pPr>
              <w:widowControl/>
              <w:adjustRightInd w:val="0"/>
              <w:snapToGrid w:val="0"/>
              <w:spacing w:line="0" w:lineRule="atLeast"/>
              <w:jc w:val="center"/>
              <w:rPr>
                <w:spacing w:val="-10"/>
                <w:kern w:val="0"/>
                <w:sz w:val="20"/>
                <w:szCs w:val="20"/>
              </w:rPr>
            </w:pPr>
            <w:r>
              <w:rPr>
                <w:sz w:val="20"/>
                <w:szCs w:val="20"/>
              </w:rPr>
              <w:t>8″3</w:t>
            </w:r>
          </w:p>
        </w:tc>
        <w:tc>
          <w:tcPr>
            <w:tcW w:w="1192" w:type="dxa"/>
            <w:noWrap w:val="0"/>
            <w:vAlign w:val="center"/>
          </w:tcPr>
          <w:p>
            <w:pPr>
              <w:widowControl/>
              <w:adjustRightInd w:val="0"/>
              <w:snapToGrid w:val="0"/>
              <w:spacing w:line="0" w:lineRule="atLeast"/>
              <w:ind w:left="-8" w:leftChars="-77" w:right="-113" w:rightChars="-54" w:hanging="154" w:hangingChars="77"/>
              <w:jc w:val="center"/>
              <w:rPr>
                <w:kern w:val="0"/>
                <w:sz w:val="20"/>
                <w:szCs w:val="20"/>
              </w:rPr>
            </w:pPr>
            <w:r>
              <w:rPr>
                <w:sz w:val="20"/>
                <w:szCs w:val="20"/>
              </w:rPr>
              <w:t>8″3以下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女生</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13″</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12″5</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12″</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11″5</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11″</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10″5</w:t>
            </w:r>
          </w:p>
        </w:tc>
        <w:tc>
          <w:tcPr>
            <w:tcW w:w="1188" w:type="dxa"/>
            <w:noWrap w:val="0"/>
            <w:vAlign w:val="center"/>
          </w:tcPr>
          <w:p>
            <w:pPr>
              <w:widowControl/>
              <w:adjustRightInd w:val="0"/>
              <w:snapToGrid w:val="0"/>
              <w:spacing w:line="0" w:lineRule="atLeast"/>
              <w:jc w:val="center"/>
              <w:rPr>
                <w:spacing w:val="-10"/>
                <w:kern w:val="0"/>
                <w:sz w:val="20"/>
                <w:szCs w:val="20"/>
              </w:rPr>
            </w:pPr>
            <w:r>
              <w:rPr>
                <w:sz w:val="20"/>
                <w:szCs w:val="20"/>
              </w:rPr>
              <w:t>10″</w:t>
            </w:r>
          </w:p>
        </w:tc>
        <w:tc>
          <w:tcPr>
            <w:tcW w:w="1188" w:type="dxa"/>
            <w:noWrap w:val="0"/>
            <w:vAlign w:val="center"/>
          </w:tcPr>
          <w:p>
            <w:pPr>
              <w:widowControl/>
              <w:adjustRightInd w:val="0"/>
              <w:snapToGrid w:val="0"/>
              <w:spacing w:line="0" w:lineRule="atLeast"/>
              <w:jc w:val="center"/>
              <w:rPr>
                <w:spacing w:val="-10"/>
                <w:kern w:val="0"/>
                <w:sz w:val="20"/>
                <w:szCs w:val="20"/>
              </w:rPr>
            </w:pPr>
            <w:r>
              <w:rPr>
                <w:sz w:val="20"/>
                <w:szCs w:val="20"/>
              </w:rPr>
              <w:t>9″7</w:t>
            </w:r>
          </w:p>
        </w:tc>
        <w:tc>
          <w:tcPr>
            <w:tcW w:w="1188" w:type="dxa"/>
            <w:noWrap w:val="0"/>
            <w:vAlign w:val="center"/>
          </w:tcPr>
          <w:p>
            <w:pPr>
              <w:widowControl/>
              <w:adjustRightInd w:val="0"/>
              <w:snapToGrid w:val="0"/>
              <w:spacing w:line="0" w:lineRule="atLeast"/>
              <w:jc w:val="center"/>
              <w:rPr>
                <w:kern w:val="0"/>
                <w:sz w:val="20"/>
                <w:szCs w:val="20"/>
              </w:rPr>
            </w:pPr>
            <w:r>
              <w:rPr>
                <w:sz w:val="20"/>
                <w:szCs w:val="20"/>
              </w:rPr>
              <w:t>9″4</w:t>
            </w:r>
          </w:p>
        </w:tc>
        <w:tc>
          <w:tcPr>
            <w:tcW w:w="1188" w:type="dxa"/>
            <w:noWrap w:val="0"/>
            <w:vAlign w:val="center"/>
          </w:tcPr>
          <w:p>
            <w:pPr>
              <w:widowControl/>
              <w:adjustRightInd w:val="0"/>
              <w:snapToGrid w:val="0"/>
              <w:spacing w:line="0" w:lineRule="atLeast"/>
              <w:jc w:val="center"/>
              <w:rPr>
                <w:spacing w:val="-10"/>
                <w:kern w:val="0"/>
                <w:sz w:val="20"/>
                <w:szCs w:val="20"/>
              </w:rPr>
            </w:pPr>
            <w:r>
              <w:rPr>
                <w:sz w:val="20"/>
                <w:szCs w:val="20"/>
              </w:rPr>
              <w:t>9″1</w:t>
            </w:r>
          </w:p>
        </w:tc>
        <w:tc>
          <w:tcPr>
            <w:tcW w:w="1192" w:type="dxa"/>
            <w:noWrap w:val="0"/>
            <w:vAlign w:val="center"/>
          </w:tcPr>
          <w:p>
            <w:pPr>
              <w:widowControl/>
              <w:adjustRightInd w:val="0"/>
              <w:snapToGrid w:val="0"/>
              <w:spacing w:line="0" w:lineRule="atLeast"/>
              <w:jc w:val="center"/>
              <w:rPr>
                <w:kern w:val="0"/>
                <w:sz w:val="20"/>
                <w:szCs w:val="20"/>
              </w:rPr>
            </w:pPr>
            <w:r>
              <w:rPr>
                <w:sz w:val="20"/>
                <w:szCs w:val="20"/>
              </w:rPr>
              <w:t>9″1以下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8" w:type="dxa"/>
            <w:noWrap w:val="0"/>
            <w:vAlign w:val="center"/>
          </w:tcPr>
          <w:p>
            <w:pPr>
              <w:adjustRightInd w:val="0"/>
              <w:snapToGrid w:val="0"/>
              <w:spacing w:line="0" w:lineRule="atLeast"/>
              <w:ind w:firstLine="181" w:firstLineChars="100"/>
              <w:jc w:val="center"/>
              <w:rPr>
                <w:b/>
                <w:bCs/>
                <w:sz w:val="18"/>
                <w:szCs w:val="18"/>
              </w:rPr>
            </w:pPr>
          </w:p>
          <w:p>
            <w:pPr>
              <w:adjustRightInd w:val="0"/>
              <w:snapToGrid w:val="0"/>
              <w:spacing w:line="0" w:lineRule="atLeast"/>
              <w:ind w:firstLine="181" w:firstLineChars="100"/>
              <w:jc w:val="center"/>
              <w:rPr>
                <w:b/>
                <w:bCs/>
                <w:sz w:val="18"/>
                <w:szCs w:val="18"/>
              </w:rPr>
            </w:pPr>
            <w:r>
              <w:rPr>
                <w:b/>
                <w:bCs/>
                <w:sz w:val="18"/>
                <w:szCs w:val="18"/>
              </w:rPr>
              <w:t>测试</w:t>
            </w:r>
          </w:p>
          <w:p>
            <w:pPr>
              <w:adjustRightInd w:val="0"/>
              <w:snapToGrid w:val="0"/>
              <w:spacing w:line="0" w:lineRule="atLeast"/>
              <w:ind w:firstLine="181" w:firstLineChars="100"/>
              <w:jc w:val="center"/>
              <w:rPr>
                <w:b/>
                <w:bCs/>
                <w:sz w:val="18"/>
                <w:szCs w:val="18"/>
              </w:rPr>
            </w:pPr>
            <w:r>
              <w:rPr>
                <w:b/>
                <w:bCs/>
                <w:sz w:val="18"/>
                <w:szCs w:val="18"/>
              </w:rPr>
              <w:t>要求</w:t>
            </w:r>
          </w:p>
        </w:tc>
        <w:tc>
          <w:tcPr>
            <w:tcW w:w="13072" w:type="dxa"/>
            <w:gridSpan w:val="11"/>
            <w:noWrap w:val="0"/>
            <w:vAlign w:val="center"/>
          </w:tcPr>
          <w:p>
            <w:pPr>
              <w:pStyle w:val="24"/>
              <w:tabs>
                <w:tab w:val="left" w:pos="695"/>
              </w:tabs>
              <w:spacing w:line="0" w:lineRule="atLeast"/>
              <w:jc w:val="left"/>
              <w:rPr>
                <w:rFonts w:ascii="Times New Roman" w:hAnsi="Times New Roman" w:cs="Times New Roman"/>
                <w:sz w:val="20"/>
                <w:szCs w:val="22"/>
              </w:rPr>
            </w:pPr>
            <w:r>
              <w:rPr>
                <w:rFonts w:ascii="Times New Roman" w:hAnsi="Times New Roman" w:cs="Times New Roman"/>
                <w:sz w:val="20"/>
                <w:szCs w:val="22"/>
                <w:lang w:val="en-US"/>
              </w:rPr>
              <w:t>1.</w:t>
            </w:r>
            <w:r>
              <w:rPr>
                <w:rFonts w:ascii="Times New Roman" w:hAnsi="Times New Roman" w:cs="Times New Roman"/>
                <w:sz w:val="20"/>
                <w:szCs w:val="22"/>
              </w:rPr>
              <w:t>单个或分组考核。</w:t>
            </w:r>
          </w:p>
          <w:p>
            <w:pPr>
              <w:pStyle w:val="24"/>
              <w:tabs>
                <w:tab w:val="left" w:pos="695"/>
              </w:tabs>
              <w:spacing w:line="0" w:lineRule="atLeast"/>
              <w:jc w:val="left"/>
              <w:rPr>
                <w:rFonts w:ascii="Times New Roman" w:hAnsi="Times New Roman" w:cs="Times New Roman"/>
                <w:sz w:val="20"/>
                <w:szCs w:val="22"/>
              </w:rPr>
            </w:pPr>
            <w:r>
              <w:rPr>
                <w:rFonts w:ascii="Times New Roman" w:hAnsi="Times New Roman" w:cs="Times New Roman"/>
                <w:spacing w:val="-27"/>
                <w:sz w:val="20"/>
                <w:szCs w:val="22"/>
                <w:lang w:val="en-US"/>
              </w:rPr>
              <w:t>2.</w:t>
            </w:r>
            <w:r>
              <w:rPr>
                <w:rFonts w:ascii="Times New Roman" w:hAnsi="Times New Roman" w:cs="Times New Roman"/>
                <w:spacing w:val="-27"/>
                <w:sz w:val="20"/>
                <w:szCs w:val="22"/>
              </w:rPr>
              <w:t xml:space="preserve">在 </w:t>
            </w:r>
            <w:r>
              <w:rPr>
                <w:rFonts w:ascii="Times New Roman" w:hAnsi="Times New Roman" w:cs="Times New Roman"/>
                <w:sz w:val="20"/>
                <w:szCs w:val="22"/>
              </w:rPr>
              <w:t>10</w:t>
            </w:r>
            <w:r>
              <w:rPr>
                <w:rFonts w:ascii="Times New Roman" w:hAnsi="Times New Roman" w:cs="Times New Roman"/>
                <w:spacing w:val="-1"/>
                <w:sz w:val="20"/>
                <w:szCs w:val="22"/>
              </w:rPr>
              <w:t xml:space="preserve"> </w:t>
            </w:r>
            <w:r>
              <w:rPr>
                <w:rFonts w:ascii="Times New Roman" w:hAnsi="Times New Roman" w:cs="Times New Roman"/>
                <w:sz w:val="20"/>
                <w:szCs w:val="22"/>
              </w:rPr>
              <w:t>米长的跑道上标出起点线和折返线，考生从起点线处听到起跑口令后起跑，在折返线处返回跑向起跑线，到达起跑线时为完成1次往返。连续完成2次往返，记录时间。</w:t>
            </w:r>
          </w:p>
          <w:p>
            <w:pPr>
              <w:widowControl/>
              <w:adjustRightInd w:val="0"/>
              <w:snapToGrid w:val="0"/>
              <w:spacing w:line="0" w:lineRule="atLeast"/>
              <w:rPr>
                <w:sz w:val="24"/>
              </w:rPr>
            </w:pPr>
            <w:r>
              <w:rPr>
                <w:sz w:val="20"/>
                <w:szCs w:val="20"/>
              </w:rPr>
              <w:t>注意事项：1.禁止穿长钉跑鞋；2.有心脏疾病等不适合进行剧烈运动的人员不得参与体能测试，否则后果自负。</w:t>
            </w:r>
          </w:p>
        </w:tc>
      </w:tr>
    </w:tbl>
    <w:p>
      <w:pPr>
        <w:rPr>
          <w:rFonts w:hint="default" w:ascii="仿宋" w:hAnsi="仿宋" w:eastAsia="宋体" w:cs="仿宋"/>
          <w:sz w:val="30"/>
          <w:szCs w:val="30"/>
          <w:lang w:val="en-US" w:eastAsia="zh-CN"/>
        </w:rPr>
      </w:pPr>
      <w:r>
        <w:rPr>
          <w:rFonts w:hint="eastAsia"/>
        </w:rPr>
        <w:t>本评分标准所有解释权归湖南安全技术职业学院</w:t>
      </w:r>
      <w:r>
        <w:rPr>
          <w:rFonts w:hint="eastAsia"/>
          <w:lang w:val="en-US" w:eastAsia="zh-CN"/>
        </w:rPr>
        <w:t>防灾与救援学院</w:t>
      </w:r>
    </w:p>
    <w:p/>
    <w:p>
      <w:pPr>
        <w:ind w:firstLine="560" w:firstLineChars="200"/>
        <w:rPr>
          <w:rFonts w:hint="eastAsia" w:ascii="等线" w:hAnsi="等线" w:eastAsia="仿宋" w:cs="仿宋"/>
          <w:color w:val="auto"/>
          <w:sz w:val="28"/>
          <w:szCs w:val="28"/>
          <w:shd w:val="clear" w:color="auto" w:fill="FFFFFF"/>
          <w:lang w:eastAsia="zh-CN"/>
        </w:rPr>
      </w:pPr>
    </w:p>
    <w:p/>
    <w:sectPr>
      <w:headerReference r:id="rId4" w:type="default"/>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4F4B5"/>
    <w:multiLevelType w:val="singleLevel"/>
    <w:tmpl w:val="A104F4B5"/>
    <w:lvl w:ilvl="0" w:tentative="0">
      <w:start w:val="12"/>
      <w:numFmt w:val="chineseCounting"/>
      <w:suff w:val="space"/>
      <w:lvlText w:val="第%1条"/>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3">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70269CE"/>
    <w:rsid w:val="47DE682B"/>
    <w:rsid w:val="61D03584"/>
    <w:rsid w:val="6B3F632F"/>
    <w:rsid w:val="6D4E57E6"/>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next w:val="3"/>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2024-01-30T11:59:35Z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