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ascii="等线" w:hAnsi="等线" w:eastAsia="华文中宋" w:cs="华文中宋"/>
          <w:b/>
          <w:bCs/>
          <w:sz w:val="36"/>
          <w:szCs w:val="36"/>
        </w:rPr>
      </w:pPr>
      <w:bookmarkStart w:id="0" w:name="zhengwen"/>
      <w:r>
        <w:rPr>
          <w:rFonts w:hint="eastAsia" w:ascii="等线" w:hAnsi="等线" w:eastAsia="华文中宋" w:cs="华文中宋"/>
          <w:b/>
          <w:bCs/>
          <w:sz w:val="36"/>
          <w:szCs w:val="36"/>
        </w:rPr>
        <w:t>湖南科技职业学院2024年高职单招章程</w:t>
      </w:r>
    </w:p>
    <w:p>
      <w:pPr>
        <w:numPr>
          <w:ilvl w:val="0"/>
          <w:numId w:val="2"/>
        </w:numPr>
        <w:spacing w:beforeLines="10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学校全称：湖南科技职业学院</w:t>
      </w:r>
      <w:r>
        <w:rPr>
          <w:rFonts w:ascii="等线" w:hAnsi="等线" w:eastAsia="仿宋" w:cs="仿宋"/>
          <w:sz w:val="28"/>
          <w:szCs w:val="28"/>
        </w:rPr>
        <w:t xml:space="preserve">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办学地点：湖南省长沙市</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主管部门：湖南省教育厅</w:t>
      </w:r>
      <w:r>
        <w:rPr>
          <w:rFonts w:ascii="等线" w:hAnsi="等线" w:eastAsia="仿宋" w:cs="仿宋"/>
          <w:sz w:val="28"/>
          <w:szCs w:val="28"/>
        </w:rPr>
        <w:t xml:space="preserve">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院校代号：4347</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办学类型：公办</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颁发学历证书的学校名称：湖南科技职业学院。证书种类：普通高等学校全日制专科毕业证书。</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学校单招工作遵循“公平竞争、公正选拔、公开透明”的原则，坚决执行招生政策规定和纪律要求，严格实施考试招生“阳光工程”。</w:t>
      </w:r>
    </w:p>
    <w:p>
      <w:pPr>
        <w:spacing w:line="500" w:lineRule="exact"/>
        <w:ind w:firstLine="560" w:firstLineChars="200"/>
        <w:rPr>
          <w:rFonts w:ascii="等线" w:hAnsi="等线" w:eastAsia="仿宋" w:cs="仿宋"/>
          <w:sz w:val="28"/>
          <w:szCs w:val="28"/>
          <w:u w:val="single"/>
        </w:rPr>
      </w:pPr>
      <w:r>
        <w:rPr>
          <w:rFonts w:hint="eastAsia" w:ascii="等线" w:hAnsi="等线" w:eastAsia="仿宋" w:cs="仿宋"/>
          <w:sz w:val="28"/>
          <w:szCs w:val="28"/>
        </w:rPr>
        <w:t>学校简介：湖南科技职业学院由湖南省教育厅主管，湖南中华职业教育社举办，是湖南省人民政府与中华职业教育社共建的公办高等职业学院，具有</w:t>
      </w:r>
      <w:r>
        <w:rPr>
          <w:rFonts w:ascii="等线" w:hAnsi="等线" w:eastAsia="仿宋" w:cs="仿宋"/>
          <w:sz w:val="28"/>
          <w:szCs w:val="28"/>
        </w:rPr>
        <w:t>60</w:t>
      </w:r>
      <w:r>
        <w:rPr>
          <w:rFonts w:hint="eastAsia" w:ascii="等线" w:hAnsi="等线" w:eastAsia="仿宋" w:cs="仿宋"/>
          <w:sz w:val="28"/>
          <w:szCs w:val="28"/>
        </w:rPr>
        <w:t>多年办学历史。学校位于湖南省会——长沙，占地面积</w:t>
      </w:r>
      <w:r>
        <w:rPr>
          <w:rFonts w:ascii="等线" w:hAnsi="等线" w:eastAsia="仿宋" w:cs="仿宋"/>
          <w:sz w:val="28"/>
          <w:szCs w:val="28"/>
        </w:rPr>
        <w:t>860</w:t>
      </w:r>
      <w:r>
        <w:rPr>
          <w:rFonts w:hint="eastAsia" w:ascii="等线" w:hAnsi="等线" w:eastAsia="仿宋" w:cs="仿宋"/>
          <w:sz w:val="28"/>
          <w:szCs w:val="28"/>
        </w:rPr>
        <w:t>亩，建筑面积</w:t>
      </w:r>
      <w:r>
        <w:rPr>
          <w:rFonts w:ascii="等线" w:hAnsi="等线" w:eastAsia="仿宋" w:cs="仿宋"/>
          <w:sz w:val="28"/>
          <w:szCs w:val="28"/>
        </w:rPr>
        <w:t>26</w:t>
      </w:r>
      <w:r>
        <w:rPr>
          <w:rFonts w:hint="eastAsia" w:ascii="等线" w:hAnsi="等线" w:eastAsia="仿宋" w:cs="仿宋"/>
          <w:sz w:val="28"/>
          <w:szCs w:val="28"/>
        </w:rPr>
        <w:t>万多平方米，有雨花校区、天心校区两个校区，现有在校生</w:t>
      </w:r>
      <w:r>
        <w:rPr>
          <w:rFonts w:ascii="等线" w:hAnsi="等线" w:eastAsia="仿宋" w:cs="仿宋"/>
          <w:sz w:val="28"/>
          <w:szCs w:val="28"/>
        </w:rPr>
        <w:t>14000</w:t>
      </w:r>
      <w:r>
        <w:rPr>
          <w:rFonts w:hint="eastAsia" w:ascii="等线" w:hAnsi="等线" w:eastAsia="仿宋" w:cs="仿宋"/>
          <w:sz w:val="28"/>
          <w:szCs w:val="28"/>
        </w:rPr>
        <w:t>多人。学校是国家示范性骨干高职院校、湖南省示范性高职院校、湖南省卓越高职院校、湖南省现代学徒制试点单位和湖南省唯一获批国家示范性软件职业技术学院的高等院校。</w:t>
      </w:r>
    </w:p>
    <w:p>
      <w:pPr>
        <w:numPr>
          <w:ilvl w:val="0"/>
          <w:numId w:val="2"/>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学校招生工作领导小组负责研究决定本校单招规模确定、政策制订等重大事项，学校招生就业与创新创业指导处负责单招组织实施的日常工作，学校教务处负责单招的考试组织工作。</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学校纪委负责全程监督检查单招工作。</w:t>
      </w:r>
    </w:p>
    <w:p>
      <w:pPr>
        <w:numPr>
          <w:ilvl w:val="0"/>
          <w:numId w:val="2"/>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网址：ks.hneao.cn）或“潇湘高考”APP（通过苹果应用商店、腾讯应用宝、华为应用商店、小米应用商店或“考生综合信息平台”首页下载APP）填报报考志愿信息。请考生在报考前关注本校网站（网址：</w:t>
      </w:r>
      <w:r>
        <w:rPr>
          <w:rFonts w:ascii="等线" w:hAnsi="等线" w:eastAsia="仿宋" w:cs="仿宋"/>
          <w:sz w:val="28"/>
          <w:szCs w:val="28"/>
        </w:rPr>
        <w:t>www.hnkjzy.edu.cn</w:t>
      </w:r>
      <w:r>
        <w:rPr>
          <w:rFonts w:hint="eastAsia" w:ascii="等线" w:hAnsi="等线" w:eastAsia="仿宋" w:cs="仿宋"/>
          <w:sz w:val="28"/>
          <w:szCs w:val="28"/>
        </w:rPr>
        <w:t>）公布的有关信息。</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填报专业要求。我校实行专业组志愿，考生在填报我校志愿时，需选择一个专业组中的</w:t>
      </w:r>
      <w:r>
        <w:rPr>
          <w:rFonts w:ascii="等线" w:hAnsi="等线" w:eastAsia="仿宋" w:cs="仿宋"/>
          <w:sz w:val="28"/>
          <w:szCs w:val="28"/>
        </w:rPr>
        <w:t xml:space="preserve"> 1-6</w:t>
      </w:r>
      <w:r>
        <w:rPr>
          <w:rFonts w:hint="eastAsia" w:ascii="等线" w:hAnsi="等线" w:eastAsia="仿宋" w:cs="仿宋"/>
          <w:sz w:val="28"/>
          <w:szCs w:val="28"/>
        </w:rPr>
        <w:t>个专业，并确定是否选择专业服从调剂。</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社会人员考生资格证明材料。所有社会人员考生均须提供本人身份证复印件及《湖南省2024年高职单招报名身份审核（界定）表》，同时分别提供以下材料：退役军人提供退出现役证（转业证）；农民工提供职工社保缴费记录、劳动用工合同、劳动用工备案信息、用工单位工资发放记录等4项材料中的一项以上；下岗失业人员提供就业创业证（就业失业登记证）；新型职业农民提供新型职业农民证书；企业在岗人员须同时提供企业在岗证明、一年以上工资发放流水、一年以上社保缴纳记录。</w:t>
      </w:r>
    </w:p>
    <w:p>
      <w:pPr>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2.材料提交时间及方式。考生须在2024年</w:t>
      </w:r>
      <w:r>
        <w:rPr>
          <w:rFonts w:ascii="等线" w:hAnsi="等线" w:eastAsia="仿宋" w:cs="仿宋"/>
          <w:sz w:val="28"/>
          <w:szCs w:val="28"/>
        </w:rPr>
        <w:t>3</w:t>
      </w:r>
      <w:r>
        <w:rPr>
          <w:rFonts w:hint="eastAsia" w:ascii="等线" w:hAnsi="等线" w:eastAsia="仿宋" w:cs="仿宋"/>
          <w:sz w:val="28"/>
          <w:szCs w:val="28"/>
        </w:rPr>
        <w:t>月</w:t>
      </w:r>
      <w:r>
        <w:rPr>
          <w:rFonts w:ascii="等线" w:hAnsi="等线" w:eastAsia="仿宋" w:cs="仿宋"/>
          <w:sz w:val="28"/>
          <w:szCs w:val="28"/>
        </w:rPr>
        <w:t>5</w:t>
      </w:r>
      <w:r>
        <w:rPr>
          <w:rFonts w:hint="eastAsia" w:ascii="等线" w:hAnsi="等线" w:eastAsia="仿宋" w:cs="仿宋"/>
          <w:sz w:val="28"/>
          <w:szCs w:val="28"/>
        </w:rPr>
        <w:t>日前将符合上述要求的证明材料，通过现场审核方式交由我校招生就业与创新创业指导处审核（天心校区北院，联系方式：</w:t>
      </w:r>
      <w:r>
        <w:rPr>
          <w:rFonts w:ascii="等线" w:hAnsi="等线" w:eastAsia="仿宋" w:cs="仿宋"/>
          <w:sz w:val="28"/>
          <w:szCs w:val="28"/>
        </w:rPr>
        <w:t>0731-82861677</w:t>
      </w:r>
      <w:r>
        <w:rPr>
          <w:rFonts w:hint="eastAsia" w:ascii="等线" w:hAnsi="等线" w:eastAsia="仿宋" w:cs="仿宋"/>
          <w:sz w:val="28"/>
          <w:szCs w:val="28"/>
        </w:rPr>
        <w:t>、</w:t>
      </w:r>
      <w:r>
        <w:rPr>
          <w:rFonts w:ascii="等线" w:hAnsi="等线" w:eastAsia="仿宋" w:cs="仿宋"/>
          <w:sz w:val="28"/>
          <w:szCs w:val="28"/>
        </w:rPr>
        <w:t xml:space="preserve">82861777 </w:t>
      </w:r>
      <w:r>
        <w:rPr>
          <w:rFonts w:hint="eastAsia" w:ascii="等线" w:hAnsi="等线" w:eastAsia="仿宋" w:cs="仿宋"/>
          <w:sz w:val="28"/>
          <w:szCs w:val="28"/>
        </w:rPr>
        <w:t>）。</w:t>
      </w:r>
    </w:p>
    <w:p>
      <w:pPr>
        <w:numPr>
          <w:ilvl w:val="0"/>
          <w:numId w:val="2"/>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我校2024年单招总计划数为2700人，其中包含单列计划的退役军人</w:t>
      </w:r>
      <w:r>
        <w:rPr>
          <w:rFonts w:ascii="等线" w:hAnsi="等线" w:eastAsia="仿宋" w:cs="仿宋"/>
          <w:sz w:val="28"/>
          <w:szCs w:val="28"/>
        </w:rPr>
        <w:t xml:space="preserve"> 30 </w:t>
      </w:r>
      <w:r>
        <w:rPr>
          <w:rFonts w:hint="eastAsia" w:ascii="等线" w:hAnsi="等线" w:eastAsia="仿宋" w:cs="仿宋"/>
          <w:sz w:val="28"/>
          <w:szCs w:val="28"/>
        </w:rPr>
        <w:t>人、其他社会人员</w:t>
      </w:r>
      <w:r>
        <w:rPr>
          <w:rFonts w:ascii="等线" w:hAnsi="等线" w:eastAsia="仿宋" w:cs="仿宋"/>
          <w:sz w:val="28"/>
          <w:szCs w:val="28"/>
        </w:rPr>
        <w:t xml:space="preserve"> 30 </w:t>
      </w:r>
      <w:r>
        <w:rPr>
          <w:rFonts w:hint="eastAsia" w:ascii="等线" w:hAnsi="等线" w:eastAsia="仿宋" w:cs="仿宋"/>
          <w:sz w:val="28"/>
          <w:szCs w:val="28"/>
        </w:rPr>
        <w:t>人、体育特长生20</w:t>
      </w:r>
      <w:r>
        <w:rPr>
          <w:rFonts w:ascii="等线" w:hAnsi="等线" w:eastAsia="仿宋" w:cs="仿宋"/>
          <w:sz w:val="28"/>
          <w:szCs w:val="28"/>
        </w:rPr>
        <w:t xml:space="preserve"> </w:t>
      </w:r>
      <w:r>
        <w:rPr>
          <w:rFonts w:hint="eastAsia" w:ascii="等线" w:hAnsi="等线" w:eastAsia="仿宋" w:cs="仿宋"/>
          <w:sz w:val="28"/>
          <w:szCs w:val="28"/>
        </w:rPr>
        <w:t>人。本校2024年招生专业共30个。分专业单招计划及学费标准如下表，各专业最终学费标准以2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4年湖南省物价主管部门审核为准。</w:t>
      </w:r>
    </w:p>
    <w:tbl>
      <w:tblPr>
        <w:tblStyle w:val="13"/>
        <w:tblW w:w="8831" w:type="dxa"/>
        <w:jc w:val="center"/>
        <w:shd w:val="clear" w:color="auto" w:fill="FFFFFF"/>
        <w:tblLayout w:type="autofit"/>
        <w:tblCellMar>
          <w:top w:w="0" w:type="dxa"/>
          <w:left w:w="0" w:type="dxa"/>
          <w:bottom w:w="0" w:type="dxa"/>
          <w:right w:w="0" w:type="dxa"/>
        </w:tblCellMar>
      </w:tblPr>
      <w:tblGrid>
        <w:gridCol w:w="1086"/>
        <w:gridCol w:w="3259"/>
        <w:gridCol w:w="1395"/>
        <w:gridCol w:w="1425"/>
        <w:gridCol w:w="1666"/>
      </w:tblGrid>
      <w:tr>
        <w:tblPrEx>
          <w:shd w:val="clear" w:color="auto" w:fill="FFFFFF"/>
          <w:tblCellMar>
            <w:top w:w="0" w:type="dxa"/>
            <w:left w:w="0" w:type="dxa"/>
            <w:bottom w:w="0" w:type="dxa"/>
            <w:right w:w="0" w:type="dxa"/>
          </w:tblCellMar>
        </w:tblPrEx>
        <w:trPr>
          <w:trHeight w:val="510" w:hRule="atLeast"/>
          <w:jc w:val="center"/>
        </w:trPr>
        <w:tc>
          <w:tcPr>
            <w:tcW w:w="1086"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专业组别</w:t>
            </w:r>
          </w:p>
        </w:tc>
        <w:tc>
          <w:tcPr>
            <w:tcW w:w="325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招生专业</w:t>
            </w:r>
          </w:p>
        </w:tc>
        <w:tc>
          <w:tcPr>
            <w:tcW w:w="13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学费（元/年）</w:t>
            </w:r>
          </w:p>
        </w:tc>
        <w:tc>
          <w:tcPr>
            <w:tcW w:w="1425" w:type="dxa"/>
            <w:tcBorders>
              <w:top w:val="single" w:color="auto" w:sz="6" w:space="0"/>
              <w:left w:val="nil"/>
              <w:bottom w:val="single" w:color="auto" w:sz="6" w:space="0"/>
              <w:right w:val="single" w:color="auto" w:sz="6" w:space="0"/>
            </w:tcBorders>
            <w:shd w:val="clear" w:color="auto" w:fill="FFFFFF"/>
            <w:vAlign w:val="center"/>
          </w:tcPr>
          <w:p>
            <w:pPr>
              <w:widowControl/>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单招计划（人）</w:t>
            </w:r>
          </w:p>
        </w:tc>
        <w:tc>
          <w:tcPr>
            <w:tcW w:w="166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ascii="宋体" w:hAnsi="宋体" w:cs="宋体"/>
                <w:color w:val="333333"/>
                <w:spacing w:val="8"/>
                <w:kern w:val="0"/>
                <w:sz w:val="18"/>
                <w:szCs w:val="18"/>
              </w:rPr>
              <w:t>备注</w:t>
            </w:r>
          </w:p>
        </w:tc>
      </w:tr>
      <w:tr>
        <w:tblPrEx>
          <w:tblCellMar>
            <w:top w:w="0" w:type="dxa"/>
            <w:left w:w="0" w:type="dxa"/>
            <w:bottom w:w="0" w:type="dxa"/>
            <w:right w:w="0" w:type="dxa"/>
          </w:tblCellMar>
        </w:tblPrEx>
        <w:trPr>
          <w:trHeight w:val="510" w:hRule="atLeast"/>
          <w:jc w:val="center"/>
        </w:trPr>
        <w:tc>
          <w:tcPr>
            <w:tcW w:w="108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26"/>
                <w:szCs w:val="26"/>
              </w:rPr>
            </w:pPr>
            <w:r>
              <w:rPr>
                <w:rFonts w:hint="eastAsia" w:ascii="宋体" w:hAnsi="宋体" w:eastAsia="Microsoft YaHei UI" w:cs="宋体"/>
                <w:b/>
                <w:bCs/>
                <w:color w:val="333333"/>
                <w:spacing w:val="8"/>
                <w:kern w:val="0"/>
                <w:sz w:val="18"/>
              </w:rPr>
              <w:t>设计艺术专业组</w:t>
            </w:r>
          </w:p>
        </w:tc>
        <w:tc>
          <w:tcPr>
            <w:tcW w:w="3259"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室内艺术设计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7500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110</w:t>
            </w:r>
          </w:p>
        </w:tc>
        <w:tc>
          <w:tcPr>
            <w:tcW w:w="1666"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宋体" w:hAnsi="宋体" w:cs="宋体"/>
                <w:color w:val="333333"/>
                <w:spacing w:val="8"/>
                <w:kern w:val="0"/>
                <w:sz w:val="18"/>
                <w:szCs w:val="18"/>
              </w:rPr>
            </w:pPr>
          </w:p>
          <w:p>
            <w:pPr>
              <w:widowControl/>
              <w:wordWrap w:val="0"/>
              <w:spacing w:line="30" w:lineRule="atLeast"/>
              <w:jc w:val="center"/>
              <w:textAlignment w:val="center"/>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数字媒体艺术设计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7500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175</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服装与服饰设计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7500</w:t>
            </w:r>
          </w:p>
        </w:tc>
        <w:tc>
          <w:tcPr>
            <w:tcW w:w="1425" w:type="dxa"/>
            <w:tcBorders>
              <w:top w:val="single" w:color="auto" w:sz="6" w:space="0"/>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40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环境艺术设计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7500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85</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视觉传达设计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7500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130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5" w:hRule="atLeast"/>
          <w:jc w:val="center"/>
        </w:trPr>
        <w:tc>
          <w:tcPr>
            <w:tcW w:w="1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陶瓷设计与工艺</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7500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72</w:t>
            </w:r>
          </w:p>
        </w:tc>
        <w:tc>
          <w:tcPr>
            <w:tcW w:w="1666" w:type="dxa"/>
            <w:vMerge w:val="continue"/>
            <w:tcBorders>
              <w:left w:val="single" w:color="auto" w:sz="6" w:space="0"/>
              <w:bottom w:val="single" w:color="auto" w:sz="6" w:space="0"/>
              <w:right w:val="single" w:color="auto" w:sz="6" w:space="0"/>
            </w:tcBorders>
            <w:shd w:val="clear" w:color="auto" w:fill="FFFFFF"/>
            <w:vAlign w:val="center"/>
          </w:tcPr>
          <w:p>
            <w:pPr>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Microsoft YaHei UI" w:cs="宋体"/>
                <w:b/>
                <w:bCs/>
                <w:color w:val="333333"/>
                <w:spacing w:val="8"/>
                <w:kern w:val="0"/>
                <w:sz w:val="18"/>
              </w:rPr>
            </w:pPr>
            <w:r>
              <w:rPr>
                <w:rFonts w:hint="eastAsia" w:ascii="宋体" w:hAnsi="宋体" w:eastAsia="Microsoft YaHei UI" w:cs="宋体"/>
                <w:b/>
                <w:bCs/>
                <w:color w:val="333333"/>
                <w:spacing w:val="8"/>
                <w:kern w:val="0"/>
                <w:sz w:val="18"/>
              </w:rPr>
              <w:t>音乐表演</w:t>
            </w:r>
          </w:p>
          <w:p>
            <w:pPr>
              <w:widowControl/>
              <w:jc w:val="center"/>
              <w:rPr>
                <w:rFonts w:ascii="Microsoft YaHei UI" w:hAnsi="Microsoft YaHei UI" w:eastAsia="Microsoft YaHei UI" w:cs="宋体"/>
                <w:color w:val="333333"/>
                <w:spacing w:val="8"/>
                <w:kern w:val="0"/>
                <w:sz w:val="26"/>
                <w:szCs w:val="26"/>
              </w:rPr>
            </w:pPr>
            <w:r>
              <w:rPr>
                <w:rFonts w:hint="eastAsia" w:ascii="宋体" w:hAnsi="宋体" w:eastAsia="Microsoft YaHei UI" w:cs="宋体"/>
                <w:b/>
                <w:bCs/>
                <w:color w:val="333333"/>
                <w:spacing w:val="8"/>
                <w:kern w:val="0"/>
                <w:sz w:val="18"/>
              </w:rPr>
              <w:t>专业组</w:t>
            </w:r>
          </w:p>
        </w:tc>
        <w:tc>
          <w:tcPr>
            <w:tcW w:w="3259"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音乐表演</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8250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35</w:t>
            </w:r>
          </w:p>
        </w:tc>
        <w:tc>
          <w:tcPr>
            <w:tcW w:w="16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left"/>
              <w:textAlignment w:val="center"/>
              <w:rPr>
                <w:rFonts w:ascii="宋体" w:hAnsi="宋体"/>
                <w:kern w:val="0"/>
                <w:sz w:val="20"/>
                <w:szCs w:val="20"/>
              </w:rPr>
            </w:pPr>
          </w:p>
        </w:tc>
      </w:tr>
      <w:tr>
        <w:tblPrEx>
          <w:tblCellMar>
            <w:top w:w="0" w:type="dxa"/>
            <w:left w:w="0" w:type="dxa"/>
            <w:bottom w:w="0" w:type="dxa"/>
            <w:right w:w="0" w:type="dxa"/>
          </w:tblCellMar>
        </w:tblPrEx>
        <w:trPr>
          <w:trHeight w:val="510" w:hRule="atLeast"/>
          <w:jc w:val="center"/>
        </w:trPr>
        <w:tc>
          <w:tcPr>
            <w:tcW w:w="1086" w:type="dxa"/>
            <w:vMerge w:val="restart"/>
            <w:tcBorders>
              <w:top w:val="single" w:color="auto" w:sz="4"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26"/>
                <w:szCs w:val="26"/>
              </w:rPr>
            </w:pPr>
            <w:r>
              <w:rPr>
                <w:rFonts w:hint="eastAsia" w:ascii="宋体" w:hAnsi="宋体" w:eastAsia="Microsoft YaHei UI" w:cs="宋体"/>
                <w:b/>
                <w:bCs/>
                <w:color w:val="333333"/>
                <w:spacing w:val="8"/>
                <w:kern w:val="0"/>
                <w:sz w:val="18"/>
              </w:rPr>
              <w:t>商贸服务专业组</w:t>
            </w: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电子商务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3500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83</w:t>
            </w:r>
          </w:p>
        </w:tc>
        <w:tc>
          <w:tcPr>
            <w:tcW w:w="166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跨境电子商务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3500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80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现代物流管理</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3500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50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大数据与会计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3500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100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商务管理</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3500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50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市场营销</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3500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50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restart"/>
            <w:tcBorders>
              <w:top w:val="single" w:color="auto" w:sz="4"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cs="宋体"/>
                <w:color w:val="333333"/>
                <w:spacing w:val="8"/>
                <w:kern w:val="0"/>
                <w:sz w:val="26"/>
                <w:szCs w:val="26"/>
              </w:rPr>
            </w:pPr>
            <w:r>
              <w:rPr>
                <w:rFonts w:hint="eastAsia" w:ascii="宋体" w:hAnsi="宋体" w:eastAsia="Microsoft YaHei UI" w:cs="宋体"/>
                <w:b/>
                <w:bCs/>
                <w:color w:val="333333"/>
                <w:spacing w:val="8"/>
                <w:kern w:val="0"/>
                <w:sz w:val="18"/>
              </w:rPr>
              <w:t>装备技术专业组</w:t>
            </w: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机电一体化技术</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5060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60</w:t>
            </w:r>
          </w:p>
        </w:tc>
        <w:tc>
          <w:tcPr>
            <w:tcW w:w="166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工业机器人技术</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4600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80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机械制造及自动化</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4600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60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模具设计与制造</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5060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60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应用电子技术</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5060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60</w:t>
            </w:r>
          </w:p>
        </w:tc>
        <w:tc>
          <w:tcPr>
            <w:tcW w:w="1666"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38" w:hRule="atLeast"/>
          <w:jc w:val="center"/>
        </w:trPr>
        <w:tc>
          <w:tcPr>
            <w:tcW w:w="1086" w:type="dxa"/>
            <w:vMerge w:val="restart"/>
            <w:tcBorders>
              <w:top w:val="single" w:color="auto" w:sz="4"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26"/>
                <w:szCs w:val="26"/>
              </w:rPr>
            </w:pPr>
            <w:r>
              <w:rPr>
                <w:rFonts w:hint="eastAsia" w:ascii="宋体" w:hAnsi="宋体" w:eastAsia="Microsoft YaHei UI" w:cs="宋体"/>
                <w:b/>
                <w:bCs/>
                <w:color w:val="333333"/>
                <w:spacing w:val="8"/>
                <w:kern w:val="0"/>
                <w:sz w:val="18"/>
              </w:rPr>
              <w:t>生物医药专业组</w:t>
            </w:r>
          </w:p>
        </w:tc>
        <w:tc>
          <w:tcPr>
            <w:tcW w:w="3259"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药学</w:t>
            </w:r>
          </w:p>
        </w:tc>
        <w:tc>
          <w:tcPr>
            <w:tcW w:w="1395"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5460</w:t>
            </w:r>
          </w:p>
        </w:tc>
        <w:tc>
          <w:tcPr>
            <w:tcW w:w="1425" w:type="dxa"/>
            <w:tcBorders>
              <w:top w:val="nil"/>
              <w:left w:val="nil"/>
              <w:bottom w:val="single" w:color="auto" w:sz="4"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160</w:t>
            </w:r>
          </w:p>
        </w:tc>
        <w:tc>
          <w:tcPr>
            <w:tcW w:w="1666"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10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药品质量与安全</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4600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70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药品生产技术</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333333"/>
                <w:spacing w:val="8"/>
                <w:kern w:val="0"/>
                <w:sz w:val="18"/>
                <w:szCs w:val="18"/>
              </w:rPr>
              <w:t>4600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70</w:t>
            </w:r>
          </w:p>
        </w:tc>
        <w:tc>
          <w:tcPr>
            <w:tcW w:w="1666" w:type="dxa"/>
            <w:vMerge w:val="continue"/>
            <w:tcBorders>
              <w:left w:val="single" w:color="auto" w:sz="6" w:space="0"/>
              <w:bottom w:val="single" w:color="auto" w:sz="6" w:space="0"/>
              <w:right w:val="single" w:color="auto" w:sz="6" w:space="0"/>
            </w:tcBorders>
            <w:shd w:val="clear" w:color="auto" w:fill="FFFFFF"/>
            <w:vAlign w:val="center"/>
          </w:tcPr>
          <w:p>
            <w:pPr>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restart"/>
            <w:tcBorders>
              <w:top w:val="single" w:color="auto" w:sz="4" w:space="0"/>
              <w:left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Microsoft YaHei UI" w:hAnsi="Microsoft YaHei UI" w:eastAsia="Microsoft YaHei UI" w:cs="宋体"/>
                <w:color w:val="333333"/>
                <w:spacing w:val="8"/>
                <w:kern w:val="0"/>
                <w:sz w:val="26"/>
                <w:szCs w:val="26"/>
              </w:rPr>
            </w:pPr>
            <w:r>
              <w:rPr>
                <w:rFonts w:hint="eastAsia" w:ascii="宋体" w:hAnsi="宋体" w:eastAsia="Microsoft YaHei UI" w:cs="宋体"/>
                <w:b/>
                <w:bCs/>
                <w:color w:val="333333"/>
                <w:spacing w:val="8"/>
                <w:kern w:val="0"/>
                <w:sz w:val="18"/>
              </w:rPr>
              <w:t>信息技术专业组</w:t>
            </w: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软件技术</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000000"/>
                <w:spacing w:val="8"/>
                <w:kern w:val="0"/>
                <w:sz w:val="18"/>
                <w:szCs w:val="18"/>
              </w:rPr>
              <w:t>7800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240</w:t>
            </w:r>
          </w:p>
        </w:tc>
        <w:tc>
          <w:tcPr>
            <w:tcW w:w="1666"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云计算技术应用</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000000"/>
                <w:spacing w:val="8"/>
                <w:kern w:val="0"/>
                <w:sz w:val="18"/>
                <w:szCs w:val="18"/>
              </w:rPr>
              <w:t>4600</w:t>
            </w:r>
          </w:p>
        </w:tc>
        <w:tc>
          <w:tcPr>
            <w:tcW w:w="1425" w:type="dxa"/>
            <w:tcBorders>
              <w:top w:val="nil"/>
              <w:left w:val="nil"/>
              <w:bottom w:val="single" w:color="auto" w:sz="6"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85</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动漫制作技术</w:t>
            </w:r>
          </w:p>
        </w:tc>
        <w:tc>
          <w:tcPr>
            <w:tcW w:w="1395"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000000"/>
                <w:spacing w:val="8"/>
                <w:kern w:val="0"/>
                <w:sz w:val="18"/>
                <w:szCs w:val="18"/>
              </w:rPr>
              <w:t>9000</w:t>
            </w:r>
          </w:p>
        </w:tc>
        <w:tc>
          <w:tcPr>
            <w:tcW w:w="1425" w:type="dxa"/>
            <w:tcBorders>
              <w:top w:val="nil"/>
              <w:left w:val="nil"/>
              <w:bottom w:val="single" w:color="auto" w:sz="4" w:space="0"/>
              <w:right w:val="single" w:color="auto" w:sz="6"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125</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区块链技术应用</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Microsoft YaHei UI" w:hAnsi="Microsoft YaHei UI" w:eastAsia="Microsoft YaHei UI" w:cs="宋体"/>
                <w:color w:val="333333"/>
                <w:spacing w:val="8"/>
                <w:kern w:val="0"/>
                <w:sz w:val="18"/>
                <w:szCs w:val="18"/>
              </w:rPr>
            </w:pPr>
            <w:r>
              <w:rPr>
                <w:rFonts w:hint="eastAsia" w:ascii="宋体" w:hAnsi="宋体" w:cs="宋体"/>
                <w:color w:val="000000"/>
                <w:spacing w:val="8"/>
                <w:kern w:val="0"/>
                <w:sz w:val="18"/>
                <w:szCs w:val="18"/>
              </w:rPr>
              <w:t>4600</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100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大数据技术</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宋体" w:hAnsi="宋体" w:cs="宋体"/>
                <w:color w:val="000000"/>
                <w:spacing w:val="8"/>
                <w:kern w:val="0"/>
                <w:sz w:val="18"/>
                <w:szCs w:val="18"/>
              </w:rPr>
            </w:pPr>
            <w:r>
              <w:rPr>
                <w:rFonts w:hint="eastAsia" w:ascii="宋体" w:hAnsi="宋体" w:cs="宋体"/>
                <w:color w:val="000000"/>
                <w:spacing w:val="8"/>
                <w:kern w:val="0"/>
                <w:sz w:val="18"/>
                <w:szCs w:val="18"/>
              </w:rPr>
              <w:t>4600</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110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人工智能技术应用</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宋体" w:hAnsi="宋体" w:cs="宋体"/>
                <w:color w:val="000000"/>
                <w:spacing w:val="8"/>
                <w:kern w:val="0"/>
                <w:sz w:val="18"/>
                <w:szCs w:val="18"/>
              </w:rPr>
            </w:pPr>
            <w:r>
              <w:rPr>
                <w:rFonts w:hint="eastAsia" w:ascii="宋体" w:hAnsi="宋体" w:cs="宋体"/>
                <w:color w:val="000000"/>
                <w:spacing w:val="8"/>
                <w:kern w:val="0"/>
                <w:sz w:val="18"/>
                <w:szCs w:val="18"/>
              </w:rPr>
              <w:t>4600</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120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计算机网络技术</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宋体" w:hAnsi="宋体" w:cs="宋体"/>
                <w:color w:val="000000"/>
                <w:spacing w:val="8"/>
                <w:kern w:val="0"/>
                <w:sz w:val="18"/>
                <w:szCs w:val="18"/>
              </w:rPr>
            </w:pPr>
            <w:r>
              <w:rPr>
                <w:rFonts w:hint="eastAsia" w:ascii="宋体" w:hAnsi="宋体" w:cs="宋体"/>
                <w:color w:val="000000"/>
                <w:spacing w:val="8"/>
                <w:kern w:val="0"/>
                <w:sz w:val="18"/>
                <w:szCs w:val="18"/>
              </w:rPr>
              <w:t>7800</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80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移动互联应用技术</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宋体" w:hAnsi="宋体" w:cs="宋体"/>
                <w:color w:val="000000"/>
                <w:spacing w:val="8"/>
                <w:kern w:val="0"/>
                <w:sz w:val="18"/>
                <w:szCs w:val="18"/>
              </w:rPr>
            </w:pPr>
            <w:r>
              <w:rPr>
                <w:rFonts w:hint="eastAsia" w:ascii="宋体" w:hAnsi="宋体" w:cs="宋体"/>
                <w:color w:val="333333"/>
                <w:spacing w:val="8"/>
                <w:kern w:val="0"/>
                <w:sz w:val="18"/>
                <w:szCs w:val="18"/>
              </w:rPr>
              <w:t>5060</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90</w:t>
            </w:r>
          </w:p>
        </w:tc>
        <w:tc>
          <w:tcPr>
            <w:tcW w:w="1666" w:type="dxa"/>
            <w:vMerge w:val="continue"/>
            <w:tcBorders>
              <w:left w:val="single" w:color="auto" w:sz="6"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1086" w:type="dxa"/>
            <w:vMerge w:val="continue"/>
            <w:tcBorders>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c>
          <w:tcPr>
            <w:tcW w:w="325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嵌入式技术应用</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0" w:lineRule="atLeast"/>
              <w:jc w:val="center"/>
              <w:textAlignment w:val="center"/>
              <w:rPr>
                <w:rFonts w:ascii="宋体" w:hAnsi="宋体" w:cs="宋体"/>
                <w:color w:val="000000"/>
                <w:spacing w:val="8"/>
                <w:kern w:val="0"/>
                <w:sz w:val="18"/>
                <w:szCs w:val="18"/>
              </w:rPr>
            </w:pPr>
            <w:r>
              <w:rPr>
                <w:rFonts w:hint="eastAsia" w:ascii="宋体" w:hAnsi="宋体" w:cs="宋体"/>
                <w:color w:val="000000"/>
                <w:spacing w:val="8"/>
                <w:kern w:val="0"/>
                <w:sz w:val="18"/>
                <w:szCs w:val="18"/>
              </w:rPr>
              <w:t>4600</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70</w:t>
            </w:r>
          </w:p>
        </w:tc>
        <w:tc>
          <w:tcPr>
            <w:tcW w:w="1666" w:type="dxa"/>
            <w:vMerge w:val="continue"/>
            <w:tcBorders>
              <w:left w:val="single" w:color="auto" w:sz="6" w:space="0"/>
              <w:bottom w:val="single" w:color="auto" w:sz="4" w:space="0"/>
              <w:right w:val="single" w:color="auto" w:sz="6" w:space="0"/>
            </w:tcBorders>
            <w:shd w:val="clear" w:color="auto" w:fill="FFFFFF"/>
            <w:vAlign w:val="center"/>
          </w:tcPr>
          <w:p>
            <w:pPr>
              <w:widowControl/>
              <w:jc w:val="left"/>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510" w:hRule="atLeast"/>
          <w:jc w:val="center"/>
        </w:trPr>
        <w:tc>
          <w:tcPr>
            <w:tcW w:w="57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textAlignment w:val="center"/>
              <w:rPr>
                <w:rFonts w:ascii="宋体" w:hAnsi="宋体" w:cs="宋体"/>
                <w:color w:val="000000"/>
                <w:spacing w:val="8"/>
                <w:kern w:val="0"/>
                <w:sz w:val="18"/>
                <w:szCs w:val="18"/>
              </w:rPr>
            </w:pPr>
            <w:r>
              <w:rPr>
                <w:rFonts w:hint="eastAsia" w:ascii="宋体" w:hAnsi="宋体" w:cs="宋体"/>
                <w:color w:val="000000"/>
                <w:spacing w:val="8"/>
                <w:kern w:val="0"/>
                <w:sz w:val="18"/>
                <w:szCs w:val="18"/>
              </w:rPr>
              <w:t>单招总计划</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30" w:lineRule="atLeast"/>
              <w:jc w:val="center"/>
              <w:rPr>
                <w:rFonts w:ascii="宋体" w:hAnsi="宋体" w:cs="宋体"/>
                <w:color w:val="333333"/>
                <w:spacing w:val="8"/>
                <w:kern w:val="0"/>
                <w:sz w:val="18"/>
                <w:szCs w:val="18"/>
              </w:rPr>
            </w:pPr>
            <w:r>
              <w:rPr>
                <w:rFonts w:hint="eastAsia" w:ascii="宋体" w:hAnsi="宋体" w:cs="宋体"/>
                <w:color w:val="333333"/>
                <w:spacing w:val="8"/>
                <w:kern w:val="0"/>
                <w:sz w:val="18"/>
                <w:szCs w:val="18"/>
              </w:rPr>
              <w:t>2700</w:t>
            </w:r>
          </w:p>
        </w:tc>
        <w:tc>
          <w:tcPr>
            <w:tcW w:w="1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Microsoft YaHei UI" w:hAnsi="Microsoft YaHei UI" w:eastAsia="Microsoft YaHei UI" w:cs="宋体"/>
                <w:color w:val="333333"/>
                <w:spacing w:val="8"/>
                <w:kern w:val="0"/>
                <w:sz w:val="26"/>
                <w:szCs w:val="26"/>
                <w:lang w:val="zh-CN"/>
              </w:rPr>
            </w:pPr>
          </w:p>
        </w:tc>
      </w:tr>
    </w:tbl>
    <w:p>
      <w:pPr>
        <w:widowControl/>
        <w:spacing w:line="500" w:lineRule="exact"/>
        <w:jc w:val="left"/>
        <w:rPr>
          <w:rFonts w:ascii="仿宋" w:hAnsi="仿宋" w:eastAsia="仿宋" w:cs="宋体"/>
          <w:b/>
          <w:bCs/>
          <w:kern w:val="0"/>
          <w:sz w:val="28"/>
          <w:u w:val="single"/>
        </w:rPr>
      </w:pP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等线" w:hAnsi="等线" w:eastAsia="仿宋" w:cs="宋体"/>
          <w:kern w:val="0"/>
          <w:sz w:val="28"/>
        </w:rPr>
      </w:pPr>
      <w:r>
        <w:rPr>
          <w:rFonts w:ascii="等线" w:hAnsi="等线" w:eastAsia="仿宋" w:cs="宋体"/>
          <w:kern w:val="0"/>
          <w:sz w:val="28"/>
        </w:rPr>
        <w:t>1.</w:t>
      </w:r>
      <w:r>
        <w:rPr>
          <w:rFonts w:hint="eastAsia" w:ascii="等线" w:hAnsi="等线" w:eastAsia="仿宋" w:cs="宋体"/>
          <w:kern w:val="0"/>
          <w:sz w:val="28"/>
        </w:rPr>
        <w:t>退役军人计划</w:t>
      </w:r>
      <w:r>
        <w:rPr>
          <w:rFonts w:ascii="等线" w:hAnsi="等线" w:eastAsia="仿宋" w:cs="宋体"/>
          <w:kern w:val="0"/>
          <w:sz w:val="28"/>
        </w:rPr>
        <w:t>30</w:t>
      </w:r>
      <w:r>
        <w:rPr>
          <w:rFonts w:hint="eastAsia" w:ascii="等线" w:hAnsi="等线" w:eastAsia="仿宋" w:cs="宋体"/>
          <w:kern w:val="0"/>
          <w:sz w:val="28"/>
        </w:rPr>
        <w:t>人，考生可在上表专业范围内自行选择报考，但每个专业最多录取</w:t>
      </w:r>
      <w:r>
        <w:rPr>
          <w:rFonts w:ascii="等线" w:hAnsi="等线" w:eastAsia="仿宋" w:cs="宋体"/>
          <w:kern w:val="0"/>
          <w:sz w:val="28"/>
        </w:rPr>
        <w:t>5</w:t>
      </w:r>
      <w:r>
        <w:rPr>
          <w:rFonts w:hint="eastAsia" w:ascii="等线" w:hAnsi="等线" w:eastAsia="仿宋" w:cs="宋体"/>
          <w:kern w:val="0"/>
          <w:sz w:val="28"/>
        </w:rPr>
        <w:t>人。</w:t>
      </w:r>
    </w:p>
    <w:p>
      <w:pPr>
        <w:widowControl/>
        <w:spacing w:line="500" w:lineRule="exact"/>
        <w:ind w:firstLine="560" w:firstLineChars="200"/>
        <w:jc w:val="left"/>
        <w:rPr>
          <w:rFonts w:ascii="等线" w:hAnsi="等线" w:eastAsia="仿宋" w:cs="宋体"/>
          <w:kern w:val="0"/>
          <w:sz w:val="28"/>
        </w:rPr>
      </w:pPr>
      <w:r>
        <w:rPr>
          <w:rFonts w:ascii="等线" w:hAnsi="等线" w:eastAsia="仿宋" w:cs="宋体"/>
          <w:kern w:val="0"/>
          <w:sz w:val="28"/>
        </w:rPr>
        <w:t>2.</w:t>
      </w:r>
      <w:r>
        <w:rPr>
          <w:rFonts w:hint="eastAsia" w:ascii="等线" w:hAnsi="等线" w:eastAsia="仿宋" w:cs="宋体"/>
          <w:kern w:val="0"/>
          <w:sz w:val="28"/>
        </w:rPr>
        <w:t>其他社会人员（农民工、下岗失业人员、新型职业农民和企业在岗人员）计划</w:t>
      </w:r>
      <w:r>
        <w:rPr>
          <w:rFonts w:ascii="等线" w:hAnsi="等线" w:eastAsia="仿宋" w:cs="宋体"/>
          <w:kern w:val="0"/>
          <w:sz w:val="28"/>
        </w:rPr>
        <w:t xml:space="preserve"> 30</w:t>
      </w:r>
      <w:r>
        <w:rPr>
          <w:rFonts w:hint="eastAsia" w:ascii="等线" w:hAnsi="等线" w:eastAsia="仿宋" w:cs="宋体"/>
          <w:kern w:val="0"/>
          <w:sz w:val="28"/>
        </w:rPr>
        <w:t>人，其中陶瓷设计与工艺专业</w:t>
      </w:r>
      <w:r>
        <w:rPr>
          <w:rFonts w:ascii="等线" w:hAnsi="等线" w:eastAsia="仿宋" w:cs="宋体"/>
          <w:kern w:val="0"/>
          <w:sz w:val="28"/>
        </w:rPr>
        <w:t>10</w:t>
      </w:r>
      <w:r>
        <w:rPr>
          <w:rFonts w:hint="eastAsia" w:ascii="等线" w:hAnsi="等线" w:eastAsia="仿宋" w:cs="宋体"/>
          <w:kern w:val="0"/>
          <w:sz w:val="28"/>
        </w:rPr>
        <w:t>人；软件技术专业</w:t>
      </w:r>
      <w:r>
        <w:rPr>
          <w:rFonts w:ascii="等线" w:hAnsi="等线" w:eastAsia="仿宋" w:cs="宋体"/>
          <w:kern w:val="0"/>
          <w:sz w:val="28"/>
        </w:rPr>
        <w:t>10</w:t>
      </w:r>
      <w:r>
        <w:rPr>
          <w:rFonts w:hint="eastAsia" w:ascii="等线" w:hAnsi="等线" w:eastAsia="仿宋" w:cs="宋体"/>
          <w:kern w:val="0"/>
          <w:sz w:val="28"/>
        </w:rPr>
        <w:t>人；动漫制作技术专业</w:t>
      </w:r>
      <w:r>
        <w:rPr>
          <w:rFonts w:ascii="等线" w:hAnsi="等线" w:eastAsia="仿宋" w:cs="宋体"/>
          <w:kern w:val="0"/>
          <w:sz w:val="28"/>
        </w:rPr>
        <w:t>10</w:t>
      </w:r>
      <w:r>
        <w:rPr>
          <w:rFonts w:hint="eastAsia" w:ascii="等线" w:hAnsi="等线" w:eastAsia="仿宋" w:cs="宋体"/>
          <w:kern w:val="0"/>
          <w:sz w:val="28"/>
        </w:rPr>
        <w:t>人。</w:t>
      </w:r>
    </w:p>
    <w:p>
      <w:pPr>
        <w:widowControl/>
        <w:spacing w:line="500" w:lineRule="exact"/>
        <w:ind w:firstLine="560" w:firstLineChars="200"/>
        <w:jc w:val="left"/>
        <w:rPr>
          <w:rFonts w:ascii="等线" w:hAnsi="等线" w:eastAsia="仿宋" w:cs="宋体"/>
          <w:kern w:val="0"/>
          <w:sz w:val="28"/>
        </w:rPr>
      </w:pPr>
      <w:r>
        <w:rPr>
          <w:rFonts w:ascii="等线" w:hAnsi="等线" w:eastAsia="仿宋" w:cs="宋体"/>
          <w:kern w:val="0"/>
          <w:sz w:val="28"/>
        </w:rPr>
        <w:t>3.</w:t>
      </w:r>
      <w:r>
        <w:rPr>
          <w:rFonts w:hint="eastAsia" w:ascii="等线" w:hAnsi="等线" w:eastAsia="仿宋" w:cs="宋体"/>
          <w:kern w:val="0"/>
          <w:sz w:val="28"/>
        </w:rPr>
        <w:t>体育特长生招生计划</w:t>
      </w:r>
      <w:r>
        <w:rPr>
          <w:rFonts w:ascii="等线" w:hAnsi="等线" w:eastAsia="仿宋" w:cs="宋体"/>
          <w:kern w:val="0"/>
          <w:sz w:val="28"/>
        </w:rPr>
        <w:t>20</w:t>
      </w:r>
      <w:r>
        <w:rPr>
          <w:rFonts w:hint="eastAsia" w:ascii="等线" w:hAnsi="等线" w:eastAsia="仿宋" w:cs="宋体"/>
          <w:kern w:val="0"/>
          <w:sz w:val="28"/>
        </w:rPr>
        <w:t>人，考生可在上表专业范围内自行选择报考非艺术类专业，但每个专业最多录取特长生</w:t>
      </w:r>
      <w:r>
        <w:rPr>
          <w:rFonts w:ascii="等线" w:hAnsi="等线" w:eastAsia="仿宋" w:cs="宋体"/>
          <w:kern w:val="0"/>
          <w:sz w:val="28"/>
        </w:rPr>
        <w:t>5</w:t>
      </w:r>
      <w:r>
        <w:rPr>
          <w:rFonts w:hint="eastAsia" w:ascii="等线" w:hAnsi="等线" w:eastAsia="仿宋" w:cs="宋体"/>
          <w:kern w:val="0"/>
          <w:sz w:val="28"/>
        </w:rPr>
        <w:t>人。</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学校在考试结束后，以实际参考人数为基数，按比例确定各专业不同类别考生的计划数。学校各专业各类别计划确定并公布后，一律不调整和追加。单招未完成的计划转为统招计划使用。</w:t>
      </w:r>
    </w:p>
    <w:p>
      <w:pPr>
        <w:numPr>
          <w:ilvl w:val="0"/>
          <w:numId w:val="2"/>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学校将本着公平、公正、择优录取的原则，按照国家教育考试相关规定，在省教育厅、省教育考试院的指导和监督下组织单招考试的相关工作。</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体育特长生</w:t>
      </w:r>
      <w:r>
        <w:rPr>
          <w:rFonts w:ascii="等线" w:hAnsi="等线" w:eastAsia="仿宋" w:cs="仿宋"/>
          <w:sz w:val="28"/>
          <w:szCs w:val="28"/>
        </w:rPr>
        <w:t>5</w:t>
      </w:r>
      <w:r>
        <w:rPr>
          <w:rFonts w:hint="eastAsia" w:ascii="等线" w:hAnsi="等线" w:eastAsia="仿宋" w:cs="仿宋"/>
          <w:sz w:val="28"/>
          <w:szCs w:val="28"/>
        </w:rPr>
        <w:t>个大类。</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第一类：应届普通高中毕业考生。文化素质测试成绩以学生取得的高中学业水平合格性考试语文、数学、外语科目有效成绩代替。职业技能测试由学校组织，学校分专业组，按照人才培养需要，分别采取笔试、机试或实践操作、技能展示等方式进行，重点考察学生的职业适应性。</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分别采取笔试、机试或实践操作、技能展示等方式进行，重点考察学生的职业技能。</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3.第三、第四类：退役军人及其他社会人员。退役军人、农民工等社会人员考生免予文化素质测试。职业技能测试由学校组织，参照上述第二类考生职业技能测试方式，参加学校组织的职业技能测试。</w:t>
      </w:r>
    </w:p>
    <w:p>
      <w:pPr>
        <w:spacing w:line="500" w:lineRule="exact"/>
        <w:ind w:firstLine="560" w:firstLineChars="200"/>
        <w:rPr>
          <w:rFonts w:ascii="等线" w:hAnsi="等线" w:eastAsia="仿宋" w:cs="仿宋"/>
          <w:sz w:val="28"/>
          <w:szCs w:val="28"/>
        </w:rPr>
      </w:pPr>
      <w:r>
        <w:rPr>
          <w:rFonts w:ascii="等线" w:hAnsi="等线" w:eastAsia="仿宋" w:cs="仿宋"/>
          <w:sz w:val="28"/>
          <w:szCs w:val="28"/>
        </w:rPr>
        <w:t>4.</w:t>
      </w:r>
      <w:r>
        <w:rPr>
          <w:rFonts w:hint="eastAsia" w:ascii="等线" w:hAnsi="等线" w:eastAsia="仿宋" w:cs="仿宋"/>
          <w:sz w:val="28"/>
          <w:szCs w:val="28"/>
        </w:rPr>
        <w:t>第五类：体育特长生。文化素质测试采取上述第二类的方式进行。职业技能测试按照《湖南科技职业学院</w:t>
      </w:r>
      <w:r>
        <w:rPr>
          <w:rFonts w:ascii="等线" w:hAnsi="等线" w:eastAsia="仿宋" w:cs="仿宋"/>
          <w:sz w:val="28"/>
          <w:szCs w:val="28"/>
        </w:rPr>
        <w:t>2024</w:t>
      </w:r>
      <w:r>
        <w:rPr>
          <w:rFonts w:hint="eastAsia" w:ascii="等线" w:hAnsi="等线" w:eastAsia="仿宋" w:cs="仿宋"/>
          <w:sz w:val="28"/>
          <w:szCs w:val="28"/>
        </w:rPr>
        <w:t>年体育特长生高职单招方案》执行。</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考生的综合成绩为文化素质成绩+职业技能成绩。上述第一类、第二类、第五类考生的高职单招综合成绩（总成绩）满分为600分，第三、第四类考生的综合成绩满分为300分。综合成绩中文化素质成绩与职业技能成绩占比为1：1，即分别各占300分。</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我校针对第二类、第五类考生组织的文化素质测试为闭卷机试方式。我校组织职业技能测试，分专业组采取以下方式：</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专业组商贸服务、装备技术、生物医药、信息技术的专业，采取机试方式进行考察，部分专业采取实践操作方式，详见考试大纲；</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专业组设计艺术的专业，采取机试</w:t>
      </w:r>
      <w:r>
        <w:rPr>
          <w:rFonts w:ascii="等线" w:hAnsi="等线" w:eastAsia="仿宋" w:cs="仿宋"/>
          <w:sz w:val="28"/>
          <w:szCs w:val="28"/>
        </w:rPr>
        <w:t>+</w:t>
      </w:r>
      <w:r>
        <w:rPr>
          <w:rFonts w:hint="eastAsia" w:ascii="等线" w:hAnsi="等线" w:eastAsia="仿宋" w:cs="仿宋"/>
          <w:sz w:val="28"/>
          <w:szCs w:val="28"/>
        </w:rPr>
        <w:t>实践操作方式进行考察；</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专业组音乐表演的专业，采取机试</w:t>
      </w:r>
      <w:r>
        <w:rPr>
          <w:rFonts w:ascii="等线" w:hAnsi="等线" w:eastAsia="仿宋" w:cs="仿宋"/>
          <w:sz w:val="28"/>
          <w:szCs w:val="28"/>
        </w:rPr>
        <w:t>+</w:t>
      </w:r>
      <w:r>
        <w:rPr>
          <w:rFonts w:hint="eastAsia" w:ascii="等线" w:hAnsi="等线" w:eastAsia="仿宋" w:cs="仿宋"/>
          <w:sz w:val="28"/>
          <w:szCs w:val="28"/>
        </w:rPr>
        <w:t>技能展示的方式进行考察。</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我校将按照分类考试的原则，对不同专业组的职业技能测试分别进行命题。我校文化素质测试、职业技能测试的有关说明、考试范围等，将在我校官网上进行公布。</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符合以下免试条件的考生在单招考试前向学校申请。其中，职业技能特长申请免技能测试的考生，须在</w:t>
      </w:r>
      <w:r>
        <w:rPr>
          <w:rFonts w:ascii="等线" w:hAnsi="等线" w:eastAsia="仿宋" w:cs="仿宋"/>
          <w:sz w:val="28"/>
          <w:szCs w:val="28"/>
        </w:rPr>
        <w:t>2024</w:t>
      </w:r>
      <w:r>
        <w:rPr>
          <w:rFonts w:hint="eastAsia" w:ascii="等线" w:hAnsi="等线" w:eastAsia="仿宋" w:cs="仿宋"/>
          <w:sz w:val="28"/>
          <w:szCs w:val="28"/>
        </w:rPr>
        <w:t>年</w:t>
      </w:r>
      <w:r>
        <w:rPr>
          <w:rFonts w:ascii="等线" w:hAnsi="等线" w:eastAsia="仿宋" w:cs="仿宋"/>
          <w:sz w:val="28"/>
          <w:szCs w:val="28"/>
        </w:rPr>
        <w:t xml:space="preserve"> 3</w:t>
      </w:r>
      <w:r>
        <w:rPr>
          <w:rFonts w:hint="eastAsia" w:ascii="等线" w:hAnsi="等线" w:eastAsia="仿宋" w:cs="仿宋"/>
          <w:sz w:val="28"/>
          <w:szCs w:val="28"/>
        </w:rPr>
        <w:t>月</w:t>
      </w:r>
      <w:r>
        <w:rPr>
          <w:rFonts w:ascii="等线" w:hAnsi="等线" w:eastAsia="仿宋" w:cs="仿宋"/>
          <w:sz w:val="28"/>
          <w:szCs w:val="28"/>
        </w:rPr>
        <w:t>5</w:t>
      </w:r>
      <w:r>
        <w:rPr>
          <w:rFonts w:hint="eastAsia" w:ascii="等线" w:hAnsi="等线" w:eastAsia="仿宋" w:cs="仿宋"/>
          <w:sz w:val="28"/>
          <w:szCs w:val="28"/>
        </w:rPr>
        <w:t>日前，通过现场审核方式，将相关申请材料（含获奖证书、获奖文件的复印件和身份证材料）报我校的招生就业与创新创业指导处审核。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3.免试考生的录取专业与其获奖赛项对应（考生如需跨专业报考，则不能享受免试政策）。</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按一志愿、二志愿分别组织单招考试。第一志愿考试时间为2024年3月16日。若第一志愿生源不足，未完成单招计划，我校将组织第二志愿考试，参考对象为第二志愿报考我校且未被第一志愿学校录取考生，时间为2024年4月13日。各科目的具体考试时间及地点</w:t>
      </w:r>
      <w:r>
        <w:rPr>
          <w:rFonts w:ascii="等线" w:hAnsi="等线" w:eastAsia="仿宋" w:cs="仿宋"/>
          <w:sz w:val="28"/>
          <w:szCs w:val="28"/>
        </w:rPr>
        <w:t>以准考证为准</w:t>
      </w:r>
      <w:r>
        <w:rPr>
          <w:rFonts w:hint="eastAsia" w:ascii="等线" w:hAnsi="等线" w:eastAsia="仿宋" w:cs="仿宋"/>
          <w:sz w:val="28"/>
          <w:szCs w:val="28"/>
        </w:rPr>
        <w:t>。</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根据物价部门统一规定，高职单招的报考费为80元/生。报考我校第一志愿的考生费缴纳时间为</w:t>
      </w:r>
      <w:r>
        <w:rPr>
          <w:rFonts w:ascii="等线" w:hAnsi="等线" w:eastAsia="仿宋" w:cs="仿宋"/>
          <w:sz w:val="28"/>
          <w:szCs w:val="28"/>
        </w:rPr>
        <w:t xml:space="preserve"> </w:t>
      </w:r>
      <w:r>
        <w:rPr>
          <w:rFonts w:hint="eastAsia" w:ascii="等线" w:hAnsi="等线" w:eastAsia="仿宋" w:cs="仿宋"/>
          <w:sz w:val="28"/>
          <w:szCs w:val="28"/>
        </w:rPr>
        <w:t>2024年3月8日-9日，缴纳方式为网上缴费。未在规定时间内缴费的，不得参加我校单招考试及录取。缴费成功的考生于</w:t>
      </w:r>
      <w:r>
        <w:rPr>
          <w:rFonts w:ascii="等线" w:hAnsi="等线" w:eastAsia="仿宋" w:cs="仿宋"/>
          <w:sz w:val="28"/>
          <w:szCs w:val="28"/>
        </w:rPr>
        <w:t>2024</w:t>
      </w:r>
      <w:r>
        <w:rPr>
          <w:rFonts w:hint="eastAsia" w:ascii="等线" w:hAnsi="等线" w:eastAsia="仿宋" w:cs="仿宋"/>
          <w:sz w:val="28"/>
          <w:szCs w:val="28"/>
        </w:rPr>
        <w:t>年</w:t>
      </w:r>
      <w:r>
        <w:rPr>
          <w:rFonts w:ascii="等线" w:hAnsi="等线" w:eastAsia="仿宋" w:cs="仿宋"/>
          <w:sz w:val="28"/>
          <w:szCs w:val="28"/>
        </w:rPr>
        <w:t>3</w:t>
      </w:r>
      <w:r>
        <w:rPr>
          <w:rFonts w:hint="eastAsia" w:ascii="等线" w:hAnsi="等线" w:eastAsia="仿宋" w:cs="仿宋"/>
          <w:sz w:val="28"/>
          <w:szCs w:val="28"/>
        </w:rPr>
        <w:t>月</w:t>
      </w:r>
      <w:r>
        <w:rPr>
          <w:rFonts w:ascii="等线" w:hAnsi="等线" w:eastAsia="仿宋" w:cs="仿宋"/>
          <w:sz w:val="28"/>
          <w:szCs w:val="28"/>
        </w:rPr>
        <w:t>14</w:t>
      </w:r>
      <w:r>
        <w:rPr>
          <w:rFonts w:hint="eastAsia" w:ascii="等线" w:hAnsi="等线" w:eastAsia="仿宋" w:cs="仿宋"/>
          <w:sz w:val="28"/>
          <w:szCs w:val="28"/>
        </w:rPr>
        <w:t>日</w:t>
      </w:r>
      <w:r>
        <w:rPr>
          <w:rFonts w:ascii="等线" w:hAnsi="等线" w:eastAsia="仿宋" w:cs="仿宋"/>
          <w:sz w:val="28"/>
          <w:szCs w:val="28"/>
        </w:rPr>
        <w:t>-15</w:t>
      </w:r>
      <w:r>
        <w:rPr>
          <w:rFonts w:hint="eastAsia" w:ascii="等线" w:hAnsi="等线" w:eastAsia="仿宋" w:cs="仿宋"/>
          <w:sz w:val="28"/>
          <w:szCs w:val="28"/>
        </w:rPr>
        <w:t>日登录系统自行打印准考证。第二志愿考生缴费及准考证打印时间学校另行公布。缴费、打印准考证咨询电话：</w:t>
      </w:r>
      <w:r>
        <w:rPr>
          <w:rFonts w:ascii="等线" w:hAnsi="等线" w:eastAsia="仿宋" w:cs="仿宋"/>
          <w:sz w:val="28"/>
          <w:szCs w:val="28"/>
        </w:rPr>
        <w:t>0731-82861677</w:t>
      </w:r>
      <w:r>
        <w:rPr>
          <w:rFonts w:hint="eastAsia" w:ascii="等线" w:hAnsi="等线" w:eastAsia="仿宋" w:cs="仿宋"/>
          <w:sz w:val="28"/>
          <w:szCs w:val="28"/>
        </w:rPr>
        <w:t>、</w:t>
      </w:r>
      <w:r>
        <w:rPr>
          <w:rFonts w:ascii="等线" w:hAnsi="等线" w:eastAsia="仿宋" w:cs="仿宋"/>
          <w:sz w:val="28"/>
          <w:szCs w:val="28"/>
        </w:rPr>
        <w:t>82861777</w:t>
      </w:r>
      <w:r>
        <w:rPr>
          <w:rFonts w:hint="eastAsia" w:ascii="等线" w:hAnsi="等线" w:eastAsia="仿宋" w:cs="仿宋"/>
          <w:sz w:val="28"/>
          <w:szCs w:val="28"/>
        </w:rPr>
        <w:t>，缴费及准考证打印流程详见学校招生网（网址</w:t>
      </w:r>
      <w:r>
        <w:rPr>
          <w:rFonts w:ascii="等线" w:hAnsi="等线" w:eastAsia="仿宋" w:cs="仿宋"/>
          <w:sz w:val="28"/>
          <w:szCs w:val="28"/>
        </w:rPr>
        <w:t>：zsb.hnkjxy.net.cn）</w:t>
      </w:r>
      <w:r>
        <w:rPr>
          <w:rFonts w:hint="eastAsia" w:ascii="等线" w:hAnsi="等线" w:eastAsia="仿宋" w:cs="仿宋"/>
          <w:sz w:val="28"/>
          <w:szCs w:val="28"/>
        </w:rPr>
        <w:t>。</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我校单招考试在省教育考试院的指导下，参照国家教育考试规定进行组织。在学校招生工作领导小组的统筹下，教务、招生、后勤、保卫、二级学院等部门共同组织考务工作。具体由教务处牵头组织命题，并负责其保密工作；教务、后勤、保卫、二级学院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pPr>
        <w:numPr>
          <w:ilvl w:val="0"/>
          <w:numId w:val="2"/>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单招录取首先对报考单列计划的考生（第三类、第四类、第五类考生）进行录取，单列计划只录取第一志愿报考的考生，如有剩余单列计划则转为普通类计划录取第一类、第二类考生。</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人，根据同比例公式计算可得第一类、第二类考生的计划数为71、24人。第一类考生计划数计算公式：95/（150+50）</w:t>
      </w:r>
      <w:r>
        <w:rPr>
          <w:rFonts w:ascii="等线" w:hAnsi="等线" w:eastAsia="仿宋" w:cs="仿宋"/>
          <w:sz w:val="28"/>
          <w:szCs w:val="28"/>
        </w:rPr>
        <w:t>×150</w:t>
      </w:r>
      <w:r>
        <w:rPr>
          <w:rFonts w:hint="eastAsia" w:ascii="等线" w:hAnsi="等线" w:eastAsia="仿宋" w:cs="仿宋"/>
          <w:sz w:val="28"/>
          <w:szCs w:val="28"/>
        </w:rPr>
        <w:t>。各类别各专业计划确定后，录取过程中不再调整和追加。</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单招录取工作按照“学校负责、招办监督”的原则进行。各类别录取时，按照志愿优先的方式进行。各类别按照以下顺序进行。</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1.退役军人考生。按考生职业技能测试综合成绩从高分到低分进行录取，录完为止。为避免个别专业扎堆报考，造成给后续普通类考生计划不足，各专业录取退役军人考生的人数不超过</w:t>
      </w:r>
      <w:r>
        <w:rPr>
          <w:rFonts w:ascii="等线" w:hAnsi="等线" w:eastAsia="仿宋" w:cs="仿宋"/>
          <w:sz w:val="28"/>
          <w:szCs w:val="28"/>
        </w:rPr>
        <w:t xml:space="preserve"> 5</w:t>
      </w:r>
      <w:r>
        <w:rPr>
          <w:rFonts w:hint="eastAsia" w:ascii="等线" w:hAnsi="等线" w:eastAsia="仿宋" w:cs="仿宋"/>
          <w:sz w:val="28"/>
          <w:szCs w:val="28"/>
        </w:rPr>
        <w:t>人。</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2.其他社会人员（农民工、下岗失业人员、新型职业农民和企业在岗人员）：按考生职业技能测试综合成绩从高分到低分进行录取，录完为止。</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3.体育特长生。依据考生所填报项目按综合成绩从高分到低分进行录取，具体规则详见《湖南科技职业学院</w:t>
      </w:r>
      <w:r>
        <w:rPr>
          <w:rFonts w:ascii="等线" w:hAnsi="等线" w:eastAsia="仿宋" w:cs="仿宋"/>
          <w:sz w:val="28"/>
          <w:szCs w:val="28"/>
        </w:rPr>
        <w:t xml:space="preserve"> </w:t>
      </w:r>
      <w:r>
        <w:rPr>
          <w:rFonts w:hint="eastAsia" w:ascii="等线" w:hAnsi="等线" w:eastAsia="仿宋" w:cs="仿宋"/>
          <w:sz w:val="28"/>
          <w:szCs w:val="28"/>
        </w:rPr>
        <w:t>2024年体育特长生高职单招方案》。为避免个别专业扎堆报考，造成后续普通类考生计划不足，各专业录取特长生考生的人数不超过</w:t>
      </w:r>
      <w:r>
        <w:rPr>
          <w:rFonts w:ascii="等线" w:hAnsi="等线" w:eastAsia="仿宋" w:cs="仿宋"/>
          <w:sz w:val="28"/>
          <w:szCs w:val="28"/>
        </w:rPr>
        <w:t>5</w:t>
      </w:r>
      <w:r>
        <w:rPr>
          <w:rFonts w:hint="eastAsia" w:ascii="等线" w:hAnsi="等线" w:eastAsia="仿宋" w:cs="仿宋"/>
          <w:sz w:val="28"/>
          <w:szCs w:val="28"/>
        </w:rPr>
        <w:t>人。</w:t>
      </w:r>
    </w:p>
    <w:p>
      <w:pPr>
        <w:widowControl/>
        <w:shd w:val="clear" w:color="auto" w:fill="FFFFFF"/>
        <w:spacing w:line="500" w:lineRule="exact"/>
        <w:jc w:val="left"/>
        <w:rPr>
          <w:rFonts w:ascii="等线" w:hAnsi="等线" w:eastAsia="仿宋" w:cs="仿宋"/>
          <w:sz w:val="28"/>
          <w:szCs w:val="28"/>
        </w:rPr>
      </w:pPr>
      <w:r>
        <w:rPr>
          <w:rFonts w:hint="eastAsia" w:ascii="等线" w:hAnsi="等线" w:eastAsia="仿宋" w:cs="仿宋"/>
          <w:sz w:val="28"/>
          <w:szCs w:val="28"/>
        </w:rPr>
        <w:t xml:space="preserve">    4.普通类考生。根据各专业分类别招生计划数，依据考生所填报专业按综合成绩从高分到低分进行录取，录满为止。如遇生源不足，则对该专业所对应同成绩专业组内未录取且服从调剂的考生按综合成绩从高分到低分进行调剂录取。</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对于末位同分的考生，依据以下排序原则进行录取。同分排序规则为：依次按考生职业技能测试成绩、文化成绩语文、数学、外语从高到低排序，如仍相同，则组织末位同分考生重新考试。</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我校将通过官网（网址：</w:t>
      </w:r>
      <w:r>
        <w:rPr>
          <w:rFonts w:ascii="等线" w:hAnsi="等线" w:eastAsia="仿宋" w:cs="仿宋"/>
          <w:sz w:val="28"/>
          <w:szCs w:val="28"/>
        </w:rPr>
        <w:t>zsb.hnkjxy.net.cn</w:t>
      </w:r>
      <w:r>
        <w:rPr>
          <w:rFonts w:hint="eastAsia" w:ascii="等线" w:hAnsi="等线" w:eastAsia="仿宋" w:cs="仿宋"/>
          <w:sz w:val="28"/>
          <w:szCs w:val="28"/>
        </w:rPr>
        <w:t>）发布单招拟录取名单，拟录取考生需在我校规定时间内办理相关录取确认手续。</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单招录取的学生不得参加本年度统一高考和普通高校对口招生考试。单招录取的学生不得转学，特殊情况需转专业的，按照我校《湖南科技职业学院学籍管理规定》，在本校当年单招专业范围内转换。</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2"/>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单招考试及录取结束后，学校按照要求及时将考试结果及拟录取考生情况在学校官网公示。</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单招接受学校纪检监察部门的监督检查，学校业务监督员全程参与单招考试、录取等工作的现场监督。</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w:t>
      </w:r>
    </w:p>
    <w:p>
      <w:pPr>
        <w:numPr>
          <w:ilvl w:val="0"/>
          <w:numId w:val="2"/>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numPr>
          <w:ilvl w:val="0"/>
          <w:numId w:val="3"/>
        </w:numPr>
        <w:shd w:val="clear" w:color="auto" w:fill="FFFFFF"/>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家庭经济特别困难的新生，可根据国家有关规定到生源地申请国家助学贷款，入学时凭相关证明材料直接办理入学手续。</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本章程通过湖南省教育考试院和学院官网向社会发布，对于各种媒体节选公布的章程内容，如理解有误，以学校公布的完整单独招生章程为准。</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学校招生联系方式</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通信地址：湖南省长沙市天心区天心大道4291号</w:t>
      </w:r>
      <w:r>
        <w:rPr>
          <w:rFonts w:ascii="等线" w:hAnsi="等线" w:eastAsia="仿宋" w:cs="仿宋"/>
          <w:sz w:val="28"/>
          <w:szCs w:val="28"/>
        </w:rPr>
        <w:t xml:space="preserve">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邮政编码：</w:t>
      </w:r>
      <w:r>
        <w:rPr>
          <w:rFonts w:ascii="等线" w:hAnsi="等线" w:eastAsia="仿宋" w:cs="仿宋"/>
          <w:sz w:val="28"/>
          <w:szCs w:val="28"/>
        </w:rPr>
        <w:t xml:space="preserve">410118                         </w:t>
      </w:r>
      <w:r>
        <w:rPr>
          <w:rFonts w:hint="eastAsia" w:ascii="等线" w:hAnsi="等线" w:eastAsia="仿宋" w:cs="仿宋"/>
          <w:sz w:val="28"/>
          <w:szCs w:val="28"/>
        </w:rPr>
        <w:t xml:space="preserve">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招生咨询电话：</w:t>
      </w:r>
      <w:r>
        <w:rPr>
          <w:rFonts w:ascii="等线" w:hAnsi="等线" w:eastAsia="仿宋" w:cs="仿宋"/>
          <w:sz w:val="28"/>
          <w:szCs w:val="28"/>
        </w:rPr>
        <w:t>0731-82861677</w:t>
      </w:r>
      <w:r>
        <w:rPr>
          <w:rFonts w:hint="eastAsia" w:ascii="等线" w:hAnsi="等线" w:eastAsia="仿宋" w:cs="仿宋"/>
          <w:sz w:val="28"/>
          <w:szCs w:val="28"/>
        </w:rPr>
        <w:t>、</w:t>
      </w:r>
      <w:r>
        <w:rPr>
          <w:rFonts w:ascii="等线" w:hAnsi="等线" w:eastAsia="仿宋" w:cs="仿宋"/>
          <w:sz w:val="28"/>
          <w:szCs w:val="28"/>
        </w:rPr>
        <w:t>82861777</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招生咨询邮箱：</w:t>
      </w:r>
      <w:r>
        <w:rPr>
          <w:rFonts w:ascii="仿宋_GB2312" w:hAnsi="Times New Roman" w:eastAsia="仿宋_GB2312"/>
          <w:color w:val="000000" w:themeColor="text1"/>
          <w:sz w:val="32"/>
          <w:szCs w:val="32"/>
          <w14:textFill>
            <w14:solidFill>
              <w14:schemeClr w14:val="tx1"/>
            </w14:solidFill>
          </w14:textFill>
        </w:rPr>
        <w:t>kjxy777</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sina.com</w:t>
      </w:r>
      <w:r>
        <w:rPr>
          <w:rFonts w:ascii="等线" w:hAnsi="等线" w:eastAsia="仿宋" w:cs="仿宋"/>
          <w:sz w:val="28"/>
          <w:szCs w:val="28"/>
        </w:rPr>
        <w:t xml:space="preserve">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招生信息发布网址：</w:t>
      </w:r>
      <w:r>
        <w:rPr>
          <w:rFonts w:ascii="等线" w:hAnsi="等线" w:eastAsia="仿宋" w:cs="仿宋"/>
          <w:sz w:val="28"/>
          <w:szCs w:val="28"/>
        </w:rPr>
        <w:t>https://zsb.hnkjxy.net.cn</w:t>
      </w:r>
    </w:p>
    <w:p>
      <w:pPr>
        <w:pStyle w:val="11"/>
        <w:shd w:val="clear" w:color="auto" w:fill="FFFFFF"/>
        <w:spacing w:before="0" w:beforeAutospacing="0" w:after="0" w:afterAutospacing="0" w:line="500" w:lineRule="exact"/>
        <w:ind w:firstLine="560" w:firstLineChars="200"/>
        <w:rPr>
          <w:rFonts w:ascii="等线" w:hAnsi="等线" w:eastAsia="仿宋" w:cs="仿宋"/>
          <w:kern w:val="2"/>
          <w:sz w:val="28"/>
          <w:szCs w:val="28"/>
        </w:rPr>
      </w:pPr>
      <w:r>
        <w:rPr>
          <w:rFonts w:hint="eastAsia" w:ascii="等线" w:hAnsi="等线" w:eastAsia="仿宋" w:cs="仿宋"/>
          <w:kern w:val="2"/>
          <w:sz w:val="28"/>
          <w:szCs w:val="28"/>
        </w:rPr>
        <w:t>监督投诉电话：</w:t>
      </w:r>
      <w:r>
        <w:rPr>
          <w:rFonts w:ascii="等线" w:hAnsi="等线" w:eastAsia="仿宋" w:cs="仿宋"/>
          <w:kern w:val="2"/>
          <w:sz w:val="28"/>
          <w:szCs w:val="28"/>
        </w:rPr>
        <w:t>0731-</w:t>
      </w:r>
      <w:r>
        <w:rPr>
          <w:rFonts w:hint="eastAsia" w:ascii="等线" w:hAnsi="等线" w:eastAsia="仿宋" w:cs="仿宋"/>
          <w:kern w:val="2"/>
          <w:sz w:val="28"/>
          <w:szCs w:val="28"/>
        </w:rPr>
        <w:t>82861877（招就）、</w:t>
      </w:r>
      <w:r>
        <w:rPr>
          <w:rFonts w:ascii="等线" w:hAnsi="等线" w:eastAsia="仿宋" w:cs="仿宋"/>
          <w:kern w:val="2"/>
          <w:sz w:val="28"/>
          <w:szCs w:val="28"/>
        </w:rPr>
        <w:t>82861189（</w:t>
      </w:r>
      <w:r>
        <w:rPr>
          <w:rFonts w:hint="eastAsia" w:ascii="等线" w:hAnsi="等线" w:eastAsia="仿宋" w:cs="仿宋"/>
          <w:sz w:val="28"/>
          <w:szCs w:val="28"/>
        </w:rPr>
        <w:t>纪检</w:t>
      </w:r>
      <w:r>
        <w:rPr>
          <w:rFonts w:ascii="等线" w:hAnsi="等线" w:eastAsia="仿宋" w:cs="仿宋"/>
          <w:kern w:val="2"/>
          <w:sz w:val="28"/>
          <w:szCs w:val="28"/>
        </w:rPr>
        <w:t>）</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本章程适用于我校2024年湖南省单招。其解释权属于湖南科技职业学院。如遇教育部、湖南省教育厅相关招生政策调整，以公布的最新政策为准。</w:t>
      </w:r>
    </w:p>
    <w:p>
      <w:pPr>
        <w:pStyle w:val="2"/>
        <w:rPr>
          <w:rFonts w:ascii="等线" w:hAnsi="等线" w:eastAsia="仿宋" w:cs="仿宋"/>
          <w:sz w:val="28"/>
          <w:szCs w:val="28"/>
        </w:rPr>
      </w:pPr>
    </w:p>
    <w:bookmarkEnd w:id="0"/>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bCs/>
      </w:rPr>
    </w:lvl>
  </w:abstractNum>
  <w:abstractNum w:abstractNumId="2">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05E7C9F"/>
    <w:rsid w:val="370269CE"/>
    <w:rsid w:val="38DB79B7"/>
    <w:rsid w:val="47DE682B"/>
    <w:rsid w:val="54D94B02"/>
    <w:rsid w:val="5B406742"/>
    <w:rsid w:val="61D03584"/>
    <w:rsid w:val="6A985499"/>
    <w:rsid w:val="6B3F632F"/>
    <w:rsid w:val="6C2B3970"/>
    <w:rsid w:val="6D4E57E6"/>
    <w:rsid w:val="6EAF7708"/>
    <w:rsid w:val="706E32EC"/>
    <w:rsid w:val="78EF0377"/>
    <w:rsid w:val="7A2461A5"/>
    <w:rsid w:val="7DC27723"/>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2024-02-18T02:39:12Z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